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2246" w14:textId="416B2A72" w:rsidR="00856976" w:rsidRPr="001E6534" w:rsidRDefault="001E6534" w:rsidP="001E6534">
      <w:pPr>
        <w:spacing w:after="120" w:line="240" w:lineRule="auto"/>
        <w:jc w:val="both"/>
        <w:rPr>
          <w:b/>
          <w:sz w:val="24"/>
          <w:lang w:val="en-GB"/>
        </w:rPr>
      </w:pPr>
      <w:r w:rsidRPr="001E6534">
        <w:rPr>
          <w:b/>
          <w:bCs/>
          <w:iCs/>
          <w:sz w:val="24"/>
          <w:lang w:val="en-GB"/>
        </w:rPr>
        <w:t>Ministry of Higher Education, Science, and Technology</w:t>
      </w:r>
      <w:r w:rsidRPr="001E6534">
        <w:rPr>
          <w:b/>
          <w:bCs/>
          <w:iCs/>
          <w:sz w:val="24"/>
          <w:lang w:val="en-GB"/>
        </w:rPr>
        <w:cr/>
      </w:r>
      <w:r w:rsidR="00856976" w:rsidRPr="00856976">
        <w:rPr>
          <w:b/>
          <w:bCs/>
          <w:iCs/>
          <w:sz w:val="24"/>
          <w:lang w:val="en-GB"/>
        </w:rPr>
        <w:t xml:space="preserve">Strengthen University Teaching Hospitals in the Fight against COVID-19 and Pandemic Preparedness  </w:t>
      </w:r>
    </w:p>
    <w:p w14:paraId="56E36135" w14:textId="77777777" w:rsidR="001E6534" w:rsidRDefault="001E6534" w:rsidP="00CC5552">
      <w:pPr>
        <w:spacing w:after="120" w:line="240" w:lineRule="auto"/>
        <w:jc w:val="both"/>
        <w:rPr>
          <w:b/>
          <w:bCs/>
          <w:iCs/>
          <w:sz w:val="24"/>
          <w:lang w:val="en-GB"/>
        </w:rPr>
      </w:pPr>
      <w:r w:rsidRPr="001E6534">
        <w:rPr>
          <w:b/>
          <w:bCs/>
          <w:iCs/>
          <w:sz w:val="24"/>
          <w:lang w:val="en-GB"/>
        </w:rPr>
        <w:t>Procurement of Medical Equipment for ICU for severe COVID-19 Cases/Infectious Disease and BSL3 Laboratory for Virology Diagnostics (UNHAS), Makassar, South Sulawesi, Republic of Indonesia</w:t>
      </w:r>
      <w:r w:rsidRPr="001E6534">
        <w:rPr>
          <w:b/>
          <w:bCs/>
          <w:iCs/>
          <w:sz w:val="24"/>
          <w:lang w:val="en-GB"/>
        </w:rPr>
        <w:t xml:space="preserve"> </w:t>
      </w:r>
    </w:p>
    <w:p w14:paraId="4E82FCA6" w14:textId="6C24B291" w:rsidR="00837C0F" w:rsidRDefault="00837C0F" w:rsidP="00CC5552">
      <w:pPr>
        <w:spacing w:after="120" w:line="240" w:lineRule="auto"/>
        <w:jc w:val="both"/>
        <w:rPr>
          <w:b/>
          <w:sz w:val="24"/>
          <w:lang w:val="pt-PT"/>
        </w:rPr>
      </w:pPr>
      <w:r w:rsidRPr="001E6534">
        <w:rPr>
          <w:b/>
          <w:sz w:val="24"/>
          <w:lang w:val="en-US"/>
        </w:rPr>
        <w:t xml:space="preserve">ICB No. </w:t>
      </w:r>
      <w:r w:rsidRPr="00837C0F">
        <w:rPr>
          <w:b/>
          <w:sz w:val="24"/>
          <w:lang w:val="pt-PT"/>
        </w:rPr>
        <w:t>EU-UNHAS-48511-GOODS1 / KfW Tender ID: 511657</w:t>
      </w:r>
    </w:p>
    <w:p w14:paraId="1CF10F60" w14:textId="468DF1D3" w:rsidR="00CC5552" w:rsidRPr="00837C0F" w:rsidRDefault="00CC5552" w:rsidP="00CC5552">
      <w:pPr>
        <w:spacing w:after="120" w:line="240" w:lineRule="auto"/>
        <w:jc w:val="both"/>
        <w:rPr>
          <w:b/>
          <w:sz w:val="24"/>
          <w:u w:val="single"/>
          <w:lang w:val="pt-PT"/>
        </w:rPr>
      </w:pPr>
      <w:r w:rsidRPr="00837C0F">
        <w:rPr>
          <w:b/>
          <w:sz w:val="24"/>
          <w:u w:val="single"/>
          <w:lang w:val="pt-PT"/>
        </w:rPr>
        <w:t xml:space="preserve">Circular </w:t>
      </w:r>
      <w:r w:rsidR="00856976" w:rsidRPr="00837C0F">
        <w:rPr>
          <w:b/>
          <w:sz w:val="24"/>
          <w:u w:val="single"/>
          <w:lang w:val="pt-PT"/>
        </w:rPr>
        <w:t>1</w:t>
      </w:r>
    </w:p>
    <w:tbl>
      <w:tblPr>
        <w:tblStyle w:val="Tabellenraster"/>
        <w:tblW w:w="14454" w:type="dxa"/>
        <w:tblLayout w:type="fixed"/>
        <w:tblLook w:val="04A0" w:firstRow="1" w:lastRow="0" w:firstColumn="1" w:lastColumn="0" w:noHBand="0" w:noVBand="1"/>
      </w:tblPr>
      <w:tblGrid>
        <w:gridCol w:w="552"/>
        <w:gridCol w:w="8090"/>
        <w:gridCol w:w="5812"/>
      </w:tblGrid>
      <w:tr w:rsidR="00CC5552" w:rsidRPr="00E12FEB" w14:paraId="6E1B5D49" w14:textId="77777777" w:rsidTr="00612398">
        <w:trPr>
          <w:tblHeader/>
        </w:trPr>
        <w:tc>
          <w:tcPr>
            <w:tcW w:w="552" w:type="dxa"/>
            <w:shd w:val="clear" w:color="auto" w:fill="F2F2F2" w:themeFill="background1" w:themeFillShade="F2"/>
          </w:tcPr>
          <w:p w14:paraId="66E7A7FF" w14:textId="77777777" w:rsidR="00CC5552" w:rsidRPr="00E12FEB" w:rsidRDefault="00CC5552" w:rsidP="0024048A">
            <w:pPr>
              <w:spacing w:before="40" w:after="40"/>
              <w:rPr>
                <w:rFonts w:cstheme="minorHAnsi"/>
                <w:b/>
                <w:lang w:val="en-GB"/>
              </w:rPr>
            </w:pPr>
            <w:r w:rsidRPr="00E12FEB">
              <w:rPr>
                <w:rFonts w:cstheme="minorHAnsi"/>
                <w:b/>
                <w:lang w:val="en-GB"/>
              </w:rPr>
              <w:t>N°</w:t>
            </w:r>
          </w:p>
        </w:tc>
        <w:tc>
          <w:tcPr>
            <w:tcW w:w="8090" w:type="dxa"/>
            <w:shd w:val="clear" w:color="auto" w:fill="F2F2F2" w:themeFill="background1" w:themeFillShade="F2"/>
          </w:tcPr>
          <w:p w14:paraId="6024BE79" w14:textId="77777777" w:rsidR="00CC5552" w:rsidRPr="00E12FEB" w:rsidRDefault="00CC5552" w:rsidP="0024048A">
            <w:pPr>
              <w:spacing w:before="40" w:after="40"/>
              <w:jc w:val="both"/>
              <w:rPr>
                <w:rFonts w:cstheme="minorHAnsi"/>
                <w:b/>
                <w:lang w:val="en-GB"/>
              </w:rPr>
            </w:pPr>
            <w:r w:rsidRPr="00E12FEB">
              <w:rPr>
                <w:rFonts w:cstheme="minorHAnsi"/>
                <w:b/>
                <w:lang w:val="en-GB"/>
              </w:rPr>
              <w:t>Question</w:t>
            </w:r>
          </w:p>
        </w:tc>
        <w:tc>
          <w:tcPr>
            <w:tcW w:w="5812" w:type="dxa"/>
            <w:shd w:val="clear" w:color="auto" w:fill="F2F2F2" w:themeFill="background1" w:themeFillShade="F2"/>
          </w:tcPr>
          <w:p w14:paraId="7CAC03D1" w14:textId="77777777" w:rsidR="00CC5552" w:rsidRPr="00E12FEB" w:rsidRDefault="00CC5552" w:rsidP="0024048A">
            <w:pPr>
              <w:spacing w:before="40" w:after="40"/>
              <w:rPr>
                <w:rFonts w:cstheme="minorHAnsi"/>
                <w:b/>
                <w:lang w:val="en-GB"/>
              </w:rPr>
            </w:pPr>
            <w:r w:rsidRPr="00E12FEB">
              <w:rPr>
                <w:rFonts w:cstheme="minorHAnsi"/>
                <w:b/>
                <w:lang w:val="en-GB"/>
              </w:rPr>
              <w:t>Answer</w:t>
            </w:r>
          </w:p>
        </w:tc>
      </w:tr>
      <w:tr w:rsidR="00CC5552" w:rsidRPr="00837C0F" w14:paraId="744B7E35" w14:textId="77777777" w:rsidTr="00612398">
        <w:tc>
          <w:tcPr>
            <w:tcW w:w="552" w:type="dxa"/>
          </w:tcPr>
          <w:p w14:paraId="2AD6BD2C" w14:textId="77777777" w:rsidR="00CC5552" w:rsidRPr="00E12FEB" w:rsidRDefault="00CC5552" w:rsidP="0024048A">
            <w:pPr>
              <w:spacing w:before="40" w:after="40"/>
              <w:jc w:val="both"/>
              <w:rPr>
                <w:rFonts w:cstheme="minorHAnsi"/>
                <w:lang w:val="en-GB"/>
              </w:rPr>
            </w:pPr>
            <w:r w:rsidRPr="00E12FEB">
              <w:rPr>
                <w:rFonts w:cstheme="minorHAnsi"/>
                <w:lang w:val="en-GB"/>
              </w:rPr>
              <w:t>1</w:t>
            </w:r>
          </w:p>
        </w:tc>
        <w:tc>
          <w:tcPr>
            <w:tcW w:w="8090" w:type="dxa"/>
          </w:tcPr>
          <w:p w14:paraId="74A737F9" w14:textId="384F4511" w:rsidR="001E6534" w:rsidRPr="001E6534" w:rsidRDefault="001E6534" w:rsidP="001E6534">
            <w:pPr>
              <w:spacing w:before="40" w:after="40"/>
              <w:jc w:val="both"/>
              <w:rPr>
                <w:rFonts w:cstheme="minorHAnsi"/>
                <w:lang w:val="en-US"/>
              </w:rPr>
            </w:pPr>
            <w:r w:rsidRPr="001E6534">
              <w:rPr>
                <w:rFonts w:cstheme="minorHAnsi"/>
                <w:lang w:val="en-US"/>
              </w:rPr>
              <w:t>Is it allowed to submit a bid Security form using the format from provided by the issuing Bank?</w:t>
            </w:r>
          </w:p>
          <w:p w14:paraId="0B23FA02" w14:textId="28C78AAB" w:rsidR="008F746C" w:rsidRPr="001E6534" w:rsidRDefault="008F746C" w:rsidP="001E6534">
            <w:pPr>
              <w:spacing w:before="40" w:after="40"/>
              <w:jc w:val="both"/>
              <w:rPr>
                <w:rFonts w:cstheme="minorHAnsi"/>
                <w:lang w:val="en-US"/>
              </w:rPr>
            </w:pPr>
          </w:p>
        </w:tc>
        <w:tc>
          <w:tcPr>
            <w:tcW w:w="5812" w:type="dxa"/>
          </w:tcPr>
          <w:p w14:paraId="1E2E60FD" w14:textId="5E7A516B" w:rsidR="00AF1A43" w:rsidRPr="006D6F83" w:rsidRDefault="00AF1A43" w:rsidP="006D6F83">
            <w:pPr>
              <w:pStyle w:val="Style11"/>
              <w:tabs>
                <w:tab w:val="left" w:leader="dot" w:pos="8424"/>
              </w:tabs>
              <w:spacing w:line="240" w:lineRule="auto"/>
              <w:jc w:val="both"/>
              <w:rPr>
                <w:rFonts w:ascii="Calibri" w:hAnsi="Calibri"/>
                <w:sz w:val="22"/>
                <w:szCs w:val="22"/>
              </w:rPr>
            </w:pPr>
            <w:r w:rsidRPr="00AF1A43">
              <w:rPr>
                <w:rFonts w:ascii="Calibri" w:hAnsi="Calibri"/>
                <w:sz w:val="22"/>
                <w:szCs w:val="22"/>
              </w:rPr>
              <w:t xml:space="preserve">Please refer to the </w:t>
            </w:r>
            <w:r w:rsidR="006D6F83">
              <w:rPr>
                <w:rFonts w:ascii="Calibri" w:hAnsi="Calibri"/>
                <w:sz w:val="22"/>
                <w:szCs w:val="22"/>
              </w:rPr>
              <w:t xml:space="preserve">Bidding Document, Section I [Instructions to Bidders], 19 [Bid Security], </w:t>
            </w:r>
            <w:r w:rsidR="006D6F83" w:rsidRPr="006D6F83">
              <w:rPr>
                <w:rFonts w:ascii="Calibri" w:hAnsi="Calibri"/>
                <w:sz w:val="22"/>
                <w:szCs w:val="22"/>
              </w:rPr>
              <w:t xml:space="preserve">19.2 </w:t>
            </w:r>
            <w:r w:rsidR="006D6F83">
              <w:rPr>
                <w:rFonts w:ascii="Calibri" w:hAnsi="Calibri"/>
                <w:sz w:val="22"/>
                <w:szCs w:val="22"/>
              </w:rPr>
              <w:t>“</w:t>
            </w:r>
            <w:r w:rsidR="006D6F83" w:rsidRPr="006D6F83">
              <w:rPr>
                <w:rFonts w:ascii="Calibri" w:hAnsi="Calibri"/>
                <w:i/>
                <w:iCs/>
                <w:sz w:val="22"/>
                <w:szCs w:val="22"/>
              </w:rPr>
              <w:t xml:space="preserve">A Bid Security shall use the </w:t>
            </w:r>
            <w:r w:rsidR="006D6F83" w:rsidRPr="006D6F83">
              <w:rPr>
                <w:rFonts w:ascii="Calibri" w:hAnsi="Calibri"/>
                <w:i/>
                <w:iCs/>
                <w:sz w:val="22"/>
                <w:szCs w:val="22"/>
                <w:u w:val="single"/>
              </w:rPr>
              <w:t>form included in Section IV, Bidding Forms,</w:t>
            </w:r>
            <w:r w:rsidR="006D6F83" w:rsidRPr="006D6F83">
              <w:rPr>
                <w:rFonts w:ascii="Calibri" w:hAnsi="Calibri"/>
                <w:b/>
                <w:bCs/>
                <w:i/>
                <w:iCs/>
                <w:sz w:val="22"/>
                <w:szCs w:val="22"/>
                <w:u w:val="single"/>
              </w:rPr>
              <w:t xml:space="preserve"> without deviations</w:t>
            </w:r>
            <w:r w:rsidR="006D6F83" w:rsidRPr="006D6F83">
              <w:rPr>
                <w:rFonts w:ascii="Calibri" w:hAnsi="Calibri"/>
                <w:i/>
                <w:iCs/>
                <w:sz w:val="22"/>
                <w:szCs w:val="22"/>
              </w:rPr>
              <w:t>. The Bid Security must be issued in the currency of the Bid.</w:t>
            </w:r>
            <w:r w:rsidR="006D6F83">
              <w:rPr>
                <w:rFonts w:ascii="Calibri" w:hAnsi="Calibri"/>
                <w:sz w:val="22"/>
                <w:szCs w:val="22"/>
              </w:rPr>
              <w:t>”</w:t>
            </w:r>
          </w:p>
        </w:tc>
      </w:tr>
      <w:tr w:rsidR="00CC5552" w:rsidRPr="00837C0F" w14:paraId="5ED0A77C" w14:textId="77777777" w:rsidTr="00612398">
        <w:tc>
          <w:tcPr>
            <w:tcW w:w="552" w:type="dxa"/>
          </w:tcPr>
          <w:p w14:paraId="0F35AF38" w14:textId="77777777" w:rsidR="00CC5552" w:rsidRPr="00E12FEB" w:rsidRDefault="00CC5552" w:rsidP="0024048A">
            <w:pPr>
              <w:spacing w:before="40" w:after="40"/>
              <w:rPr>
                <w:rFonts w:cstheme="minorHAnsi"/>
                <w:lang w:val="en-GB"/>
              </w:rPr>
            </w:pPr>
            <w:r w:rsidRPr="00E12FEB">
              <w:rPr>
                <w:rFonts w:cstheme="minorHAnsi"/>
                <w:lang w:val="en-GB"/>
              </w:rPr>
              <w:t>2</w:t>
            </w:r>
          </w:p>
        </w:tc>
        <w:tc>
          <w:tcPr>
            <w:tcW w:w="8090" w:type="dxa"/>
          </w:tcPr>
          <w:p w14:paraId="1C51BD5B" w14:textId="4D446296" w:rsidR="001E6534" w:rsidRPr="001E6534" w:rsidRDefault="001E6534" w:rsidP="001E6534">
            <w:pPr>
              <w:spacing w:before="40" w:after="40"/>
              <w:jc w:val="both"/>
              <w:rPr>
                <w:rFonts w:cstheme="minorHAnsi"/>
                <w:lang w:val="en-US"/>
              </w:rPr>
            </w:pPr>
            <w:r w:rsidRPr="001E6534">
              <w:rPr>
                <w:rFonts w:cstheme="minorHAnsi"/>
                <w:lang w:val="en-US"/>
              </w:rPr>
              <w:t>What is the budget limit for this project?</w:t>
            </w:r>
          </w:p>
          <w:p w14:paraId="198FA37B" w14:textId="617338AA" w:rsidR="0065418B" w:rsidRPr="00856976" w:rsidRDefault="0065418B" w:rsidP="001E6534">
            <w:pPr>
              <w:spacing w:before="40" w:after="40"/>
              <w:jc w:val="both"/>
              <w:rPr>
                <w:rFonts w:cstheme="minorHAnsi"/>
                <w:lang w:val="en-US"/>
              </w:rPr>
            </w:pPr>
          </w:p>
        </w:tc>
        <w:tc>
          <w:tcPr>
            <w:tcW w:w="5812" w:type="dxa"/>
          </w:tcPr>
          <w:p w14:paraId="028D7154" w14:textId="50692A4E" w:rsidR="006D6F83" w:rsidRDefault="006D6F83" w:rsidP="00A61202">
            <w:pPr>
              <w:spacing w:before="40" w:after="40"/>
              <w:jc w:val="both"/>
              <w:rPr>
                <w:rFonts w:cstheme="minorHAnsi"/>
                <w:bCs/>
                <w:lang w:val="en-US"/>
              </w:rPr>
            </w:pPr>
            <w:r>
              <w:rPr>
                <w:rFonts w:cstheme="minorHAnsi"/>
                <w:bCs/>
                <w:lang w:val="en-US"/>
              </w:rPr>
              <w:t xml:space="preserve">Neither the allocated project budget, nor the Engineer’s Estimation </w:t>
            </w:r>
            <w:r w:rsidR="00BB4AF6">
              <w:rPr>
                <w:rFonts w:cstheme="minorHAnsi"/>
                <w:bCs/>
                <w:lang w:val="en-US"/>
              </w:rPr>
              <w:t>shall</w:t>
            </w:r>
            <w:r>
              <w:rPr>
                <w:rFonts w:cstheme="minorHAnsi"/>
                <w:bCs/>
                <w:lang w:val="en-US"/>
              </w:rPr>
              <w:t xml:space="preserve"> be disclosed at this moment of the procurement process.</w:t>
            </w:r>
          </w:p>
          <w:p w14:paraId="3E65B4AA" w14:textId="74D0B7EF" w:rsidR="00AF1A43" w:rsidRPr="0065418B" w:rsidRDefault="006D6F83" w:rsidP="006D6F83">
            <w:pPr>
              <w:spacing w:before="40" w:after="40"/>
              <w:jc w:val="both"/>
              <w:rPr>
                <w:rFonts w:cstheme="minorHAnsi"/>
                <w:bCs/>
                <w:lang w:val="en-US"/>
              </w:rPr>
            </w:pPr>
            <w:r>
              <w:rPr>
                <w:rFonts w:cstheme="minorHAnsi"/>
                <w:bCs/>
                <w:lang w:val="en-US"/>
              </w:rPr>
              <w:t xml:space="preserve">Nevertheless, please consider the Bidding Document, </w:t>
            </w:r>
            <w:r w:rsidRPr="006D6F83">
              <w:rPr>
                <w:rFonts w:ascii="Calibri" w:hAnsi="Calibri"/>
                <w:lang w:val="en-US"/>
              </w:rPr>
              <w:t>Section I [Instructions to Bidders],</w:t>
            </w:r>
            <w:r>
              <w:rPr>
                <w:rFonts w:ascii="Calibri" w:hAnsi="Calibri"/>
                <w:lang w:val="en-US"/>
              </w:rPr>
              <w:t xml:space="preserve"> 38 [Award Criteria]</w:t>
            </w:r>
            <w:r>
              <w:rPr>
                <w:rFonts w:cstheme="minorHAnsi"/>
                <w:bCs/>
                <w:lang w:val="en-US"/>
              </w:rPr>
              <w:t xml:space="preserve"> </w:t>
            </w:r>
            <w:r w:rsidRPr="006D6F83">
              <w:rPr>
                <w:rFonts w:cstheme="minorHAnsi"/>
                <w:bCs/>
                <w:lang w:val="en-US"/>
              </w:rPr>
              <w:t xml:space="preserve">38.1 </w:t>
            </w:r>
            <w:r w:rsidRPr="006D6F83">
              <w:rPr>
                <w:rFonts w:cstheme="minorHAnsi"/>
                <w:bCs/>
                <w:i/>
                <w:iCs/>
                <w:lang w:val="en-US"/>
              </w:rPr>
              <w:t>“(…)</w:t>
            </w:r>
            <w:r w:rsidRPr="006D6F83">
              <w:rPr>
                <w:rFonts w:cstheme="minorHAnsi"/>
                <w:bCs/>
                <w:i/>
                <w:iCs/>
                <w:lang w:val="en-US"/>
              </w:rPr>
              <w:t xml:space="preserve">, the Purchaser shall </w:t>
            </w:r>
            <w:r w:rsidRPr="006D6F83">
              <w:rPr>
                <w:rFonts w:cstheme="minorHAnsi"/>
                <w:bCs/>
                <w:i/>
                <w:iCs/>
                <w:u w:val="single"/>
                <w:lang w:val="en-US"/>
              </w:rPr>
              <w:t xml:space="preserve">award the Contract to the qualified, pursuant to ITB 27, Bidder whose bid has been determined to be the </w:t>
            </w:r>
            <w:r w:rsidRPr="006D6F83">
              <w:rPr>
                <w:rFonts w:cstheme="minorHAnsi"/>
                <w:b/>
                <w:i/>
                <w:iCs/>
                <w:u w:val="single"/>
                <w:lang w:val="en-US"/>
              </w:rPr>
              <w:t>lowest evaluated bid and is substantially responsive to the Bidding Documents</w:t>
            </w:r>
            <w:r w:rsidRPr="006D6F83">
              <w:rPr>
                <w:rFonts w:cstheme="minorHAnsi"/>
                <w:bCs/>
                <w:i/>
                <w:iCs/>
                <w:lang w:val="en-US"/>
              </w:rPr>
              <w:t>.</w:t>
            </w:r>
            <w:r w:rsidRPr="006D6F83">
              <w:rPr>
                <w:rFonts w:cstheme="minorHAnsi"/>
                <w:bCs/>
                <w:i/>
                <w:iCs/>
                <w:lang w:val="en-US"/>
              </w:rPr>
              <w:t>”</w:t>
            </w:r>
            <w:r>
              <w:rPr>
                <w:rFonts w:cstheme="minorHAnsi"/>
                <w:bCs/>
                <w:lang w:val="en-US"/>
              </w:rPr>
              <w:t xml:space="preserve"> </w:t>
            </w:r>
          </w:p>
        </w:tc>
      </w:tr>
      <w:tr w:rsidR="0065418B" w:rsidRPr="00837C0F" w14:paraId="7C3D9B3D" w14:textId="77777777" w:rsidTr="00612398">
        <w:tc>
          <w:tcPr>
            <w:tcW w:w="552" w:type="dxa"/>
          </w:tcPr>
          <w:p w14:paraId="4B90E83D" w14:textId="1729D390" w:rsidR="0065418B" w:rsidRPr="00E12FEB" w:rsidRDefault="0065418B" w:rsidP="0024048A">
            <w:pPr>
              <w:spacing w:before="40" w:after="40"/>
              <w:rPr>
                <w:rFonts w:cstheme="minorHAnsi"/>
                <w:lang w:val="en-GB"/>
              </w:rPr>
            </w:pPr>
            <w:r>
              <w:rPr>
                <w:rFonts w:cstheme="minorHAnsi"/>
                <w:lang w:val="en-GB"/>
              </w:rPr>
              <w:t>3</w:t>
            </w:r>
          </w:p>
        </w:tc>
        <w:tc>
          <w:tcPr>
            <w:tcW w:w="8090" w:type="dxa"/>
          </w:tcPr>
          <w:p w14:paraId="53CC7595" w14:textId="3A80A4CF" w:rsidR="001E6534" w:rsidRPr="001E6534" w:rsidRDefault="001E6534" w:rsidP="001E6534">
            <w:pPr>
              <w:spacing w:before="40" w:after="40"/>
              <w:jc w:val="both"/>
              <w:rPr>
                <w:rFonts w:cstheme="minorHAnsi"/>
                <w:lang w:val="en-US"/>
              </w:rPr>
            </w:pPr>
            <w:r w:rsidRPr="001E6534">
              <w:rPr>
                <w:rFonts w:cstheme="minorHAnsi"/>
                <w:lang w:val="en-US"/>
              </w:rPr>
              <w:t>Does the Manufacturer’s Authorization have to be issued directly by the Manufacturer or can it be issued by authorized distributor or sole agent in Indonesia?</w:t>
            </w:r>
          </w:p>
          <w:p w14:paraId="112A5A4F" w14:textId="5386F1C7" w:rsidR="00301777" w:rsidRPr="001E6534" w:rsidRDefault="00301777" w:rsidP="001E6534">
            <w:pPr>
              <w:spacing w:before="40" w:after="40"/>
              <w:jc w:val="both"/>
              <w:rPr>
                <w:rFonts w:cstheme="minorHAnsi"/>
                <w:lang w:val="en-US"/>
              </w:rPr>
            </w:pPr>
          </w:p>
        </w:tc>
        <w:tc>
          <w:tcPr>
            <w:tcW w:w="5812" w:type="dxa"/>
          </w:tcPr>
          <w:p w14:paraId="16189660" w14:textId="4036F050" w:rsidR="00BB4AF6" w:rsidRPr="00BB4AF6" w:rsidRDefault="00BB4AF6" w:rsidP="00BB4AF6">
            <w:pPr>
              <w:spacing w:before="80" w:after="40"/>
              <w:jc w:val="both"/>
              <w:rPr>
                <w:rFonts w:ascii="Calibri" w:hAnsi="Calibri"/>
                <w:i/>
                <w:iCs/>
                <w:lang w:val="en-US"/>
              </w:rPr>
            </w:pPr>
            <w:r w:rsidRPr="00BB4AF6">
              <w:rPr>
                <w:rFonts w:ascii="Calibri" w:hAnsi="Calibri"/>
                <w:lang w:val="en-US"/>
              </w:rPr>
              <w:t>Please refer to the Bidding Document, Section I [Instructions to Bidders], 1</w:t>
            </w:r>
            <w:r>
              <w:rPr>
                <w:rFonts w:ascii="Calibri" w:hAnsi="Calibri"/>
                <w:lang w:val="en-US"/>
              </w:rPr>
              <w:t>7 [</w:t>
            </w:r>
            <w:r w:rsidRPr="00BB4AF6">
              <w:rPr>
                <w:rFonts w:ascii="Calibri" w:hAnsi="Calibri"/>
                <w:lang w:val="en-US"/>
              </w:rPr>
              <w:t>Documents Establishing the Eligibility and Qualifications of the Bidder</w:t>
            </w:r>
            <w:r>
              <w:rPr>
                <w:rFonts w:ascii="Calibri" w:hAnsi="Calibri"/>
                <w:lang w:val="en-US"/>
              </w:rPr>
              <w:t xml:space="preserve">], </w:t>
            </w:r>
            <w:r w:rsidRPr="00BB4AF6">
              <w:rPr>
                <w:rFonts w:cstheme="minorHAnsi"/>
                <w:bCs/>
                <w:lang w:val="en-US"/>
              </w:rPr>
              <w:t xml:space="preserve">17.2 </w:t>
            </w:r>
            <w:r>
              <w:rPr>
                <w:rFonts w:cstheme="minorHAnsi"/>
                <w:bCs/>
                <w:lang w:val="en-US"/>
              </w:rPr>
              <w:t>“</w:t>
            </w:r>
            <w:r w:rsidRPr="00BB4AF6">
              <w:rPr>
                <w:rFonts w:cstheme="minorHAnsi"/>
                <w:bCs/>
                <w:i/>
                <w:iCs/>
                <w:lang w:val="en-US"/>
              </w:rPr>
              <w:t xml:space="preserve">The documentary evidence of the Bidder’s qualifications to perform the contract if its bid is accepted shall establish to the Purchaser’s satisfaction: </w:t>
            </w:r>
          </w:p>
          <w:p w14:paraId="6AB2CA0C" w14:textId="77777777" w:rsidR="00BB4AF6" w:rsidRDefault="00BB4AF6" w:rsidP="00BB4AF6">
            <w:pPr>
              <w:spacing w:before="80" w:after="40"/>
              <w:jc w:val="both"/>
              <w:rPr>
                <w:rFonts w:cstheme="minorHAnsi"/>
                <w:bCs/>
                <w:lang w:val="en-US"/>
              </w:rPr>
            </w:pPr>
            <w:r w:rsidRPr="00BB4AF6">
              <w:rPr>
                <w:rFonts w:cstheme="minorHAnsi"/>
                <w:bCs/>
                <w:i/>
                <w:iCs/>
                <w:lang w:val="en-US"/>
              </w:rPr>
              <w:t xml:space="preserve">(a) That, if required in the BDS, </w:t>
            </w:r>
            <w:r w:rsidRPr="00BB4AF6">
              <w:rPr>
                <w:rFonts w:cstheme="minorHAnsi"/>
                <w:bCs/>
                <w:i/>
                <w:iCs/>
                <w:u w:val="single"/>
                <w:lang w:val="en-US"/>
              </w:rPr>
              <w:t xml:space="preserve">a Bidder that does not manufacture or produce the Goods it offers to supply shall </w:t>
            </w:r>
            <w:r w:rsidRPr="00BB4AF6">
              <w:rPr>
                <w:rFonts w:cstheme="minorHAnsi"/>
                <w:b/>
                <w:i/>
                <w:iCs/>
                <w:u w:val="single"/>
                <w:lang w:val="en-US"/>
              </w:rPr>
              <w:t>submit the Manufacturer’s Authorization using the form included in Section IV, Bidding Forms to demonstrate that it has been duly authorized by the manufacturer or producer of the Goods to supply these Goods in the Purchaser’s Country</w:t>
            </w:r>
            <w:r w:rsidRPr="00BB4AF6">
              <w:rPr>
                <w:rFonts w:cstheme="minorHAnsi"/>
                <w:bCs/>
                <w:i/>
                <w:iCs/>
                <w:lang w:val="en-US"/>
              </w:rPr>
              <w:t>;</w:t>
            </w:r>
            <w:r>
              <w:rPr>
                <w:rFonts w:cstheme="minorHAnsi"/>
                <w:bCs/>
                <w:lang w:val="en-US"/>
              </w:rPr>
              <w:t>”</w:t>
            </w:r>
          </w:p>
          <w:p w14:paraId="53EB4E1D" w14:textId="77777777" w:rsidR="00BB4AF6" w:rsidRDefault="00BB4AF6" w:rsidP="00BB4AF6">
            <w:pPr>
              <w:spacing w:before="80" w:after="40"/>
              <w:jc w:val="both"/>
              <w:rPr>
                <w:rFonts w:cstheme="minorHAnsi"/>
                <w:bCs/>
                <w:lang w:val="en-US"/>
              </w:rPr>
            </w:pPr>
          </w:p>
          <w:p w14:paraId="2A157093" w14:textId="59D40321" w:rsidR="00BB4AF6" w:rsidRDefault="00BB4AF6" w:rsidP="00BB4AF6">
            <w:pPr>
              <w:spacing w:before="80" w:after="40"/>
              <w:jc w:val="both"/>
              <w:rPr>
                <w:rFonts w:cstheme="minorHAnsi"/>
                <w:bCs/>
                <w:lang w:val="en-US"/>
              </w:rPr>
            </w:pPr>
            <w:r>
              <w:rPr>
                <w:rFonts w:cstheme="minorHAnsi"/>
                <w:bCs/>
                <w:lang w:val="en-US"/>
              </w:rPr>
              <w:lastRenderedPageBreak/>
              <w:t xml:space="preserve">Please also refer to the </w:t>
            </w:r>
            <w:r w:rsidR="00110391">
              <w:rPr>
                <w:rFonts w:cstheme="minorHAnsi"/>
                <w:bCs/>
                <w:lang w:val="en-US"/>
              </w:rPr>
              <w:t>Bidding Document, Section IV [Bidding Forms],</w:t>
            </w:r>
            <w:r w:rsidR="00110391" w:rsidRPr="00110391">
              <w:rPr>
                <w:lang w:val="en-US"/>
              </w:rPr>
              <w:t xml:space="preserve"> </w:t>
            </w:r>
            <w:r w:rsidR="00110391" w:rsidRPr="00110391">
              <w:rPr>
                <w:rFonts w:cstheme="minorHAnsi"/>
                <w:bCs/>
                <w:lang w:val="en-US"/>
              </w:rPr>
              <w:t>Manufacturer’s Authorization</w:t>
            </w:r>
            <w:r w:rsidR="00110391">
              <w:rPr>
                <w:rFonts w:cstheme="minorHAnsi"/>
                <w:bCs/>
                <w:lang w:val="en-US"/>
              </w:rPr>
              <w:t xml:space="preserve">, Instructions to complete the Form: </w:t>
            </w:r>
          </w:p>
          <w:p w14:paraId="5F9DCEBF" w14:textId="77777777" w:rsidR="00BB4AF6" w:rsidRDefault="00BB4AF6" w:rsidP="00BB4AF6">
            <w:pPr>
              <w:spacing w:before="80" w:after="40"/>
              <w:jc w:val="both"/>
              <w:rPr>
                <w:rFonts w:cstheme="minorHAnsi"/>
                <w:bCs/>
                <w:i/>
                <w:iCs/>
                <w:lang w:val="en-US"/>
              </w:rPr>
            </w:pPr>
            <w:r w:rsidRPr="00BB4AF6">
              <w:rPr>
                <w:rFonts w:cstheme="minorHAnsi"/>
                <w:bCs/>
                <w:i/>
                <w:iCs/>
                <w:lang w:val="en-US"/>
              </w:rPr>
              <w:t>“</w:t>
            </w:r>
            <w:r w:rsidRPr="00BB4AF6">
              <w:rPr>
                <w:rFonts w:cstheme="minorHAnsi"/>
                <w:bCs/>
                <w:i/>
                <w:iCs/>
                <w:lang w:val="en-US"/>
              </w:rPr>
              <w:t xml:space="preserve">The Bidder shall </w:t>
            </w:r>
            <w:r w:rsidRPr="00110391">
              <w:rPr>
                <w:rFonts w:cstheme="minorHAnsi"/>
                <w:bCs/>
                <w:i/>
                <w:iCs/>
                <w:u w:val="single"/>
                <w:lang w:val="en-US"/>
              </w:rPr>
              <w:t>require the Manufacturer to fill in this Form in accordance with the instructions indicated</w:t>
            </w:r>
            <w:r w:rsidRPr="00BB4AF6">
              <w:rPr>
                <w:rFonts w:cstheme="minorHAnsi"/>
                <w:bCs/>
                <w:i/>
                <w:iCs/>
                <w:lang w:val="en-US"/>
              </w:rPr>
              <w:t xml:space="preserve">. This letter of authorization </w:t>
            </w:r>
            <w:r w:rsidRPr="00110391">
              <w:rPr>
                <w:rFonts w:cstheme="minorHAnsi"/>
                <w:bCs/>
                <w:i/>
                <w:iCs/>
                <w:u w:val="single"/>
                <w:lang w:val="en-US"/>
              </w:rPr>
              <w:t xml:space="preserve">should be on the letterhead of the Manufacturer and should be </w:t>
            </w:r>
            <w:r w:rsidRPr="00110391">
              <w:rPr>
                <w:rFonts w:cstheme="minorHAnsi"/>
                <w:b/>
                <w:i/>
                <w:iCs/>
                <w:u w:val="single"/>
                <w:lang w:val="en-US"/>
              </w:rPr>
              <w:t>signed by a person with the proper authority to sign documents that are binding on the Manufacturer</w:t>
            </w:r>
            <w:r w:rsidRPr="00BB4AF6">
              <w:rPr>
                <w:rFonts w:cstheme="minorHAnsi"/>
                <w:bCs/>
                <w:i/>
                <w:iCs/>
                <w:lang w:val="en-US"/>
              </w:rPr>
              <w:t>. The Bidder shall include it in its bid, if so indicated in the BDS, and for Items listed in the BDS and/or Specifications</w:t>
            </w:r>
            <w:r w:rsidRPr="00BB4AF6">
              <w:rPr>
                <w:rFonts w:cstheme="minorHAnsi"/>
                <w:bCs/>
                <w:i/>
                <w:iCs/>
                <w:lang w:val="en-US"/>
              </w:rPr>
              <w:t>.”</w:t>
            </w:r>
          </w:p>
          <w:p w14:paraId="6943FCC8" w14:textId="77777777" w:rsidR="00110391" w:rsidRDefault="00110391" w:rsidP="00BB4AF6">
            <w:pPr>
              <w:spacing w:before="80" w:after="40"/>
              <w:jc w:val="both"/>
              <w:rPr>
                <w:rFonts w:cstheme="minorHAnsi"/>
                <w:bCs/>
                <w:lang w:val="en-US"/>
              </w:rPr>
            </w:pPr>
          </w:p>
          <w:p w14:paraId="20D73CA0" w14:textId="217974DC" w:rsidR="00110391" w:rsidRPr="00110391" w:rsidRDefault="00110391" w:rsidP="00BB4AF6">
            <w:pPr>
              <w:spacing w:before="80" w:after="40"/>
              <w:jc w:val="both"/>
              <w:rPr>
                <w:rFonts w:cstheme="minorHAnsi"/>
                <w:bCs/>
                <w:lang w:val="en-US"/>
              </w:rPr>
            </w:pPr>
            <w:r>
              <w:rPr>
                <w:rFonts w:cstheme="minorHAnsi"/>
                <w:bCs/>
                <w:lang w:val="en-US"/>
              </w:rPr>
              <w:t xml:space="preserve">With the intention to give an exact answer to the specific question, the </w:t>
            </w:r>
            <w:r w:rsidRPr="001E6534">
              <w:rPr>
                <w:rFonts w:cstheme="minorHAnsi"/>
                <w:lang w:val="en-US"/>
              </w:rPr>
              <w:t>Manufacturer’s Authorization</w:t>
            </w:r>
            <w:r>
              <w:rPr>
                <w:rFonts w:cstheme="minorHAnsi"/>
                <w:lang w:val="en-US"/>
              </w:rPr>
              <w:t xml:space="preserve"> can be issued by an </w:t>
            </w:r>
            <w:r w:rsidRPr="00110391">
              <w:rPr>
                <w:rFonts w:cstheme="minorHAnsi"/>
                <w:bCs/>
                <w:lang w:val="en-US"/>
              </w:rPr>
              <w:t>authorized representative of the Manufacturer</w:t>
            </w:r>
            <w:r>
              <w:rPr>
                <w:rFonts w:cstheme="minorHAnsi"/>
                <w:bCs/>
                <w:lang w:val="en-US"/>
              </w:rPr>
              <w:t>, subject to the conditions above. In th</w:t>
            </w:r>
            <w:r w:rsidR="00E82E66">
              <w:rPr>
                <w:rFonts w:cstheme="minorHAnsi"/>
                <w:bCs/>
                <w:lang w:val="en-US"/>
              </w:rPr>
              <w:t>e specific</w:t>
            </w:r>
            <w:r>
              <w:rPr>
                <w:rFonts w:cstheme="minorHAnsi"/>
                <w:bCs/>
                <w:lang w:val="en-US"/>
              </w:rPr>
              <w:t xml:space="preserve"> case, the distributor or sole agent in Indonesia disposes of the required authorization to act on behalf of the Manufacturer, the Bidder shall substantiate the </w:t>
            </w:r>
            <w:r w:rsidR="00E82E66">
              <w:rPr>
                <w:rFonts w:cstheme="minorHAnsi"/>
                <w:bCs/>
                <w:lang w:val="en-US"/>
              </w:rPr>
              <w:t>distributor’s or sole agent’s</w:t>
            </w:r>
            <w:r w:rsidR="00E82E66" w:rsidRPr="00E82E66">
              <w:rPr>
                <w:lang w:val="en-US"/>
              </w:rPr>
              <w:t xml:space="preserve"> </w:t>
            </w:r>
            <w:r w:rsidR="00E82E66" w:rsidRPr="00E82E66">
              <w:rPr>
                <w:rFonts w:cstheme="minorHAnsi"/>
                <w:bCs/>
                <w:lang w:val="en-US"/>
              </w:rPr>
              <w:t>authority to sign documents that are binding on the Manufacturer</w:t>
            </w:r>
            <w:r w:rsidR="00E82E66">
              <w:rPr>
                <w:rFonts w:cstheme="minorHAnsi"/>
                <w:bCs/>
                <w:lang w:val="en-US"/>
              </w:rPr>
              <w:t xml:space="preserve"> by supporting documents, as part of his Bid. </w:t>
            </w:r>
            <w:r>
              <w:rPr>
                <w:rFonts w:cstheme="minorHAnsi"/>
                <w:bCs/>
                <w:lang w:val="en-US"/>
              </w:rPr>
              <w:t xml:space="preserve">  </w:t>
            </w:r>
          </w:p>
        </w:tc>
      </w:tr>
      <w:tr w:rsidR="0065418B" w:rsidRPr="00837C0F" w14:paraId="69663A6B" w14:textId="77777777" w:rsidTr="00612398">
        <w:tc>
          <w:tcPr>
            <w:tcW w:w="552" w:type="dxa"/>
          </w:tcPr>
          <w:p w14:paraId="4911B1FE" w14:textId="6AAF7403" w:rsidR="0065418B" w:rsidRPr="008C34B1" w:rsidRDefault="008C34B1" w:rsidP="00A61202">
            <w:pPr>
              <w:spacing w:before="40" w:after="40"/>
              <w:rPr>
                <w:rFonts w:cstheme="minorHAnsi"/>
                <w:lang w:val="en-US"/>
              </w:rPr>
            </w:pPr>
            <w:r>
              <w:rPr>
                <w:rFonts w:cstheme="minorHAnsi"/>
                <w:lang w:val="en-US"/>
              </w:rPr>
              <w:lastRenderedPageBreak/>
              <w:t>4</w:t>
            </w:r>
          </w:p>
        </w:tc>
        <w:tc>
          <w:tcPr>
            <w:tcW w:w="8090" w:type="dxa"/>
          </w:tcPr>
          <w:p w14:paraId="598C8427" w14:textId="453DEF17" w:rsidR="001E6534" w:rsidRPr="001E6534" w:rsidRDefault="001E6534" w:rsidP="001E6534">
            <w:pPr>
              <w:spacing w:before="40" w:after="40"/>
              <w:jc w:val="both"/>
              <w:rPr>
                <w:rFonts w:cstheme="minorHAnsi"/>
                <w:lang w:val="en-US"/>
              </w:rPr>
            </w:pPr>
            <w:r w:rsidRPr="001E6534">
              <w:rPr>
                <w:rFonts w:cstheme="minorHAnsi"/>
                <w:lang w:val="en-US"/>
              </w:rPr>
              <w:t xml:space="preserve">Is it allowed to use only one work experience with amount more than </w:t>
            </w:r>
          </w:p>
          <w:p w14:paraId="7EB6BECE" w14:textId="77777777" w:rsidR="001E6534" w:rsidRPr="001E6534" w:rsidRDefault="001E6534" w:rsidP="001E6534">
            <w:pPr>
              <w:spacing w:before="40" w:after="40"/>
              <w:jc w:val="both"/>
              <w:rPr>
                <w:rFonts w:cstheme="minorHAnsi"/>
                <w:lang w:val="en-US"/>
              </w:rPr>
            </w:pPr>
            <w:r w:rsidRPr="001E6534">
              <w:rPr>
                <w:rFonts w:cstheme="minorHAnsi"/>
                <w:lang w:val="en-US"/>
              </w:rPr>
              <w:t>three minimal number instead of 3 experiences in each individual contract with amount 1.750.000 Euros?</w:t>
            </w:r>
          </w:p>
          <w:p w14:paraId="46E649C5" w14:textId="169B294F" w:rsidR="008C34B1" w:rsidRPr="001E6534" w:rsidRDefault="008C34B1" w:rsidP="001E6534">
            <w:pPr>
              <w:spacing w:before="40" w:after="40"/>
              <w:jc w:val="both"/>
              <w:rPr>
                <w:rFonts w:cstheme="minorHAnsi"/>
                <w:lang w:val="en-US"/>
              </w:rPr>
            </w:pPr>
          </w:p>
        </w:tc>
        <w:tc>
          <w:tcPr>
            <w:tcW w:w="5812" w:type="dxa"/>
          </w:tcPr>
          <w:p w14:paraId="517CBB43" w14:textId="0E12E3F6" w:rsidR="00235708" w:rsidRDefault="009B5D6E" w:rsidP="007350D6">
            <w:pPr>
              <w:spacing w:before="40" w:after="40"/>
              <w:jc w:val="both"/>
              <w:rPr>
                <w:rFonts w:cstheme="minorHAnsi"/>
                <w:bCs/>
                <w:lang w:val="en-US"/>
              </w:rPr>
            </w:pPr>
            <w:r>
              <w:rPr>
                <w:rFonts w:cstheme="minorHAnsi"/>
                <w:bCs/>
                <w:lang w:val="en-US"/>
              </w:rPr>
              <w:t xml:space="preserve">Please refer to the Bidding Document, </w:t>
            </w:r>
            <w:r w:rsidR="007350D6" w:rsidRPr="007350D6">
              <w:rPr>
                <w:rFonts w:cstheme="minorHAnsi"/>
                <w:bCs/>
                <w:lang w:val="en-US"/>
              </w:rPr>
              <w:t>Section III</w:t>
            </w:r>
            <w:r w:rsidR="007350D6">
              <w:rPr>
                <w:rFonts w:cstheme="minorHAnsi"/>
                <w:bCs/>
                <w:lang w:val="en-US"/>
              </w:rPr>
              <w:t xml:space="preserve"> [</w:t>
            </w:r>
            <w:r w:rsidR="007350D6" w:rsidRPr="007350D6">
              <w:rPr>
                <w:rFonts w:cstheme="minorHAnsi"/>
                <w:bCs/>
                <w:lang w:val="en-US"/>
              </w:rPr>
              <w:t>Qualification and Evaluation Criteria</w:t>
            </w:r>
            <w:r w:rsidR="007350D6">
              <w:rPr>
                <w:rFonts w:cstheme="minorHAnsi"/>
                <w:bCs/>
                <w:lang w:val="en-US"/>
              </w:rPr>
              <w:t>],</w:t>
            </w:r>
            <w:r w:rsidR="007350D6" w:rsidRPr="007350D6">
              <w:rPr>
                <w:lang w:val="en-US"/>
              </w:rPr>
              <w:t xml:space="preserve"> </w:t>
            </w:r>
            <w:r w:rsidR="007350D6" w:rsidRPr="007350D6">
              <w:rPr>
                <w:rFonts w:cstheme="minorHAnsi"/>
                <w:bCs/>
                <w:lang w:val="en-US"/>
              </w:rPr>
              <w:t>1.2. Requirements and Criteria</w:t>
            </w:r>
            <w:r w:rsidR="007350D6">
              <w:rPr>
                <w:rFonts w:cstheme="minorHAnsi"/>
                <w:bCs/>
                <w:lang w:val="en-US"/>
              </w:rPr>
              <w:t xml:space="preserve">, Table 4, 4.1 </w:t>
            </w:r>
            <w:r w:rsidR="007350D6" w:rsidRPr="007350D6">
              <w:rPr>
                <w:rFonts w:cstheme="minorHAnsi"/>
                <w:bCs/>
                <w:lang w:val="en-US"/>
              </w:rPr>
              <w:t>Similar Experience</w:t>
            </w:r>
            <w:r w:rsidR="007350D6">
              <w:rPr>
                <w:rFonts w:cstheme="minorHAnsi"/>
                <w:bCs/>
                <w:lang w:val="en-US"/>
              </w:rPr>
              <w:t xml:space="preserve">: </w:t>
            </w:r>
          </w:p>
          <w:p w14:paraId="5E7C3DB1" w14:textId="0D42A9E7" w:rsidR="00235708" w:rsidRPr="009B5D6E" w:rsidRDefault="00235708" w:rsidP="00235708">
            <w:pPr>
              <w:spacing w:before="40" w:after="40"/>
              <w:jc w:val="both"/>
              <w:rPr>
                <w:rFonts w:cstheme="minorHAnsi"/>
                <w:bCs/>
                <w:i/>
                <w:iCs/>
                <w:lang w:val="en-US"/>
              </w:rPr>
            </w:pPr>
            <w:r>
              <w:rPr>
                <w:rFonts w:cstheme="minorHAnsi"/>
                <w:bCs/>
                <w:lang w:val="en-US"/>
              </w:rPr>
              <w:t>“</w:t>
            </w:r>
            <w:r w:rsidRPr="009B5D6E">
              <w:rPr>
                <w:rFonts w:cstheme="minorHAnsi"/>
                <w:bCs/>
                <w:i/>
                <w:iCs/>
                <w:lang w:val="en-US"/>
              </w:rPr>
              <w:t xml:space="preserve">A minimum number of three </w:t>
            </w:r>
            <w:r w:rsidRPr="007350D6">
              <w:rPr>
                <w:rFonts w:cstheme="minorHAnsi"/>
                <w:bCs/>
                <w:i/>
                <w:iCs/>
                <w:u w:val="single"/>
                <w:lang w:val="en-US"/>
              </w:rPr>
              <w:t>(3) similar</w:t>
            </w:r>
            <w:r w:rsidRPr="007350D6">
              <w:rPr>
                <w:rFonts w:cstheme="minorHAnsi"/>
                <w:bCs/>
                <w:i/>
                <w:iCs/>
                <w:u w:val="single"/>
                <w:vertAlign w:val="superscript"/>
                <w:lang w:val="en-US"/>
              </w:rPr>
              <w:t>3</w:t>
            </w:r>
            <w:r w:rsidRPr="007350D6">
              <w:rPr>
                <w:rFonts w:cstheme="minorHAnsi"/>
                <w:bCs/>
                <w:i/>
                <w:iCs/>
                <w:u w:val="single"/>
                <w:lang w:val="en-US"/>
              </w:rPr>
              <w:t xml:space="preserve"> </w:t>
            </w:r>
            <w:r w:rsidRPr="007350D6">
              <w:rPr>
                <w:rFonts w:cstheme="minorHAnsi"/>
                <w:bCs/>
                <w:i/>
                <w:iCs/>
                <w:u w:val="single"/>
                <w:lang w:val="en-US"/>
              </w:rPr>
              <w:t>contracts</w:t>
            </w:r>
            <w:r w:rsidRPr="009B5D6E">
              <w:rPr>
                <w:rFonts w:cstheme="minorHAnsi"/>
                <w:bCs/>
                <w:i/>
                <w:iCs/>
                <w:lang w:val="en-US"/>
              </w:rPr>
              <w:t xml:space="preserve"> specified</w:t>
            </w:r>
            <w:r w:rsidRPr="009B5D6E">
              <w:rPr>
                <w:rFonts w:cstheme="minorHAnsi"/>
                <w:bCs/>
                <w:i/>
                <w:iCs/>
                <w:lang w:val="en-US"/>
              </w:rPr>
              <w:t xml:space="preserve"> </w:t>
            </w:r>
            <w:r w:rsidRPr="009B5D6E">
              <w:rPr>
                <w:rFonts w:cstheme="minorHAnsi"/>
                <w:bCs/>
                <w:i/>
                <w:iCs/>
                <w:lang w:val="en-US"/>
              </w:rPr>
              <w:t>below that have been satisfactorily and substantially</w:t>
            </w:r>
            <w:r w:rsidRPr="009B5D6E">
              <w:rPr>
                <w:rFonts w:cstheme="minorHAnsi"/>
                <w:bCs/>
                <w:i/>
                <w:iCs/>
                <w:vertAlign w:val="superscript"/>
                <w:lang w:val="en-US"/>
              </w:rPr>
              <w:t>4</w:t>
            </w:r>
            <w:r w:rsidRPr="009B5D6E">
              <w:rPr>
                <w:rFonts w:cstheme="minorHAnsi"/>
                <w:bCs/>
                <w:i/>
                <w:iCs/>
                <w:lang w:val="en-US"/>
              </w:rPr>
              <w:t xml:space="preserve"> </w:t>
            </w:r>
            <w:r w:rsidRPr="009B5D6E">
              <w:rPr>
                <w:rFonts w:cstheme="minorHAnsi"/>
                <w:bCs/>
                <w:i/>
                <w:iCs/>
                <w:lang w:val="en-US"/>
              </w:rPr>
              <w:t xml:space="preserve">completed as Supplier, or joint venture </w:t>
            </w:r>
            <w:r w:rsidRPr="009B5D6E">
              <w:rPr>
                <w:rFonts w:cstheme="minorHAnsi"/>
                <w:bCs/>
                <w:i/>
                <w:iCs/>
                <w:lang w:val="en-US"/>
              </w:rPr>
              <w:t>M</w:t>
            </w:r>
            <w:r w:rsidRPr="009B5D6E">
              <w:rPr>
                <w:rFonts w:cstheme="minorHAnsi"/>
                <w:bCs/>
                <w:i/>
                <w:iCs/>
                <w:lang w:val="en-US"/>
              </w:rPr>
              <w:t>ember</w:t>
            </w:r>
            <w:r w:rsidRPr="009B5D6E">
              <w:rPr>
                <w:rFonts w:cstheme="minorHAnsi"/>
                <w:bCs/>
                <w:i/>
                <w:iCs/>
                <w:vertAlign w:val="superscript"/>
                <w:lang w:val="en-US"/>
              </w:rPr>
              <w:t>5</w:t>
            </w:r>
            <w:r w:rsidRPr="009B5D6E">
              <w:rPr>
                <w:rFonts w:cstheme="minorHAnsi"/>
                <w:bCs/>
                <w:i/>
                <w:iCs/>
                <w:lang w:val="en-US"/>
              </w:rPr>
              <w:t>, during the</w:t>
            </w:r>
            <w:r w:rsidRPr="009B5D6E">
              <w:rPr>
                <w:rFonts w:cstheme="minorHAnsi"/>
                <w:bCs/>
                <w:i/>
                <w:iCs/>
                <w:lang w:val="en-US"/>
              </w:rPr>
              <w:t xml:space="preserve"> </w:t>
            </w:r>
            <w:r w:rsidRPr="009B5D6E">
              <w:rPr>
                <w:rFonts w:cstheme="minorHAnsi"/>
                <w:bCs/>
                <w:i/>
                <w:iCs/>
                <w:lang w:val="en-US"/>
              </w:rPr>
              <w:t>past five</w:t>
            </w:r>
            <w:r w:rsidRPr="009B5D6E">
              <w:rPr>
                <w:rFonts w:cstheme="minorHAnsi"/>
                <w:bCs/>
                <w:i/>
                <w:iCs/>
                <w:lang w:val="en-US"/>
              </w:rPr>
              <w:t xml:space="preserve"> </w:t>
            </w:r>
            <w:r w:rsidRPr="009B5D6E">
              <w:rPr>
                <w:rFonts w:cstheme="minorHAnsi"/>
                <w:bCs/>
                <w:i/>
                <w:iCs/>
                <w:lang w:val="en-US"/>
              </w:rPr>
              <w:t xml:space="preserve">(5) years, </w:t>
            </w:r>
            <w:r w:rsidRPr="009B5D6E">
              <w:rPr>
                <w:rFonts w:cstheme="minorHAnsi"/>
                <w:b/>
                <w:i/>
                <w:iCs/>
                <w:u w:val="single"/>
                <w:lang w:val="en-US"/>
              </w:rPr>
              <w:t>for each individual similar contract</w:t>
            </w:r>
            <w:r w:rsidRPr="009B5D6E">
              <w:rPr>
                <w:rFonts w:cstheme="minorHAnsi"/>
                <w:bCs/>
                <w:i/>
                <w:iCs/>
                <w:u w:val="single"/>
                <w:lang w:val="en-US"/>
              </w:rPr>
              <w:t xml:space="preserve"> per lot in EUR, as follows</w:t>
            </w:r>
            <w:r w:rsidRPr="009B5D6E">
              <w:rPr>
                <w:rFonts w:cstheme="minorHAnsi"/>
                <w:bCs/>
                <w:i/>
                <w:iCs/>
                <w:lang w:val="en-US"/>
              </w:rPr>
              <w:t>:</w:t>
            </w:r>
          </w:p>
          <w:p w14:paraId="71A43611" w14:textId="3166A9C0" w:rsidR="00235708" w:rsidRDefault="00235708" w:rsidP="00235708">
            <w:pPr>
              <w:spacing w:before="40" w:after="40"/>
              <w:jc w:val="both"/>
              <w:rPr>
                <w:rFonts w:cstheme="minorHAnsi"/>
                <w:bCs/>
                <w:lang w:val="en-US"/>
              </w:rPr>
            </w:pPr>
            <w:r w:rsidRPr="009B5D6E">
              <w:rPr>
                <w:rFonts w:cstheme="minorHAnsi"/>
                <w:bCs/>
                <w:i/>
                <w:iCs/>
                <w:lang w:val="en-US"/>
              </w:rPr>
              <w:t>Lot 1: 1.750.000,00 Euros</w:t>
            </w:r>
            <w:r w:rsidR="009B5D6E" w:rsidRPr="009B5D6E">
              <w:rPr>
                <w:rFonts w:cstheme="minorHAnsi"/>
                <w:bCs/>
                <w:i/>
                <w:iCs/>
                <w:lang w:val="en-US"/>
              </w:rPr>
              <w:t xml:space="preserve"> </w:t>
            </w:r>
            <w:r w:rsidRPr="009B5D6E">
              <w:rPr>
                <w:rFonts w:cstheme="minorHAnsi"/>
                <w:bCs/>
                <w:i/>
                <w:iCs/>
                <w:lang w:val="en-US"/>
              </w:rPr>
              <w:t>(…)</w:t>
            </w:r>
            <w:r>
              <w:rPr>
                <w:rFonts w:cstheme="minorHAnsi"/>
                <w:bCs/>
                <w:lang w:val="en-US"/>
              </w:rPr>
              <w:t>”</w:t>
            </w:r>
          </w:p>
          <w:p w14:paraId="7A7E8936" w14:textId="77777777" w:rsidR="00235708" w:rsidRDefault="00235708" w:rsidP="00235708">
            <w:pPr>
              <w:spacing w:before="40" w:after="40"/>
              <w:jc w:val="both"/>
              <w:rPr>
                <w:rFonts w:cstheme="minorHAnsi"/>
                <w:bCs/>
                <w:lang w:val="en-US"/>
              </w:rPr>
            </w:pPr>
          </w:p>
          <w:p w14:paraId="36DA85D5" w14:textId="11BA404B" w:rsidR="007350D6" w:rsidRDefault="00235708" w:rsidP="00235708">
            <w:pPr>
              <w:spacing w:before="40" w:after="40"/>
              <w:jc w:val="both"/>
              <w:rPr>
                <w:rFonts w:cstheme="minorHAnsi"/>
                <w:bCs/>
                <w:lang w:val="en-US"/>
              </w:rPr>
            </w:pPr>
            <w:r>
              <w:rPr>
                <w:rFonts w:cstheme="minorHAnsi"/>
                <w:bCs/>
                <w:lang w:val="en-US"/>
              </w:rPr>
              <w:t>With the intention to give an exact answer to the specific question,</w:t>
            </w:r>
            <w:r>
              <w:rPr>
                <w:rFonts w:cstheme="minorHAnsi"/>
                <w:bCs/>
                <w:lang w:val="en-US"/>
              </w:rPr>
              <w:t xml:space="preserve"> </w:t>
            </w:r>
            <w:r w:rsidRPr="007350D6">
              <w:rPr>
                <w:rFonts w:cstheme="minorHAnsi"/>
                <w:b/>
                <w:u w:val="single"/>
                <w:lang w:val="en-US"/>
              </w:rPr>
              <w:t>if</w:t>
            </w:r>
            <w:r>
              <w:rPr>
                <w:rFonts w:cstheme="minorHAnsi"/>
                <w:bCs/>
                <w:lang w:val="en-US"/>
              </w:rPr>
              <w:t xml:space="preserve"> the </w:t>
            </w:r>
            <w:r w:rsidR="009B5D6E">
              <w:rPr>
                <w:rFonts w:cstheme="minorHAnsi"/>
                <w:bCs/>
                <w:lang w:val="en-US"/>
              </w:rPr>
              <w:t xml:space="preserve">mentioned </w:t>
            </w:r>
            <w:r w:rsidR="007350D6">
              <w:rPr>
                <w:rFonts w:cstheme="minorHAnsi"/>
                <w:bCs/>
                <w:lang w:val="en-US"/>
              </w:rPr>
              <w:t xml:space="preserve">one (1) </w:t>
            </w:r>
            <w:r w:rsidR="009B5D6E">
              <w:rPr>
                <w:rFonts w:cstheme="minorHAnsi"/>
                <w:bCs/>
                <w:lang w:val="en-US"/>
              </w:rPr>
              <w:t>c</w:t>
            </w:r>
            <w:r>
              <w:rPr>
                <w:rFonts w:cstheme="minorHAnsi"/>
                <w:bCs/>
                <w:lang w:val="en-US"/>
              </w:rPr>
              <w:t>ontract</w:t>
            </w:r>
            <w:r w:rsidR="009B5D6E">
              <w:rPr>
                <w:rFonts w:cstheme="minorHAnsi"/>
                <w:bCs/>
                <w:lang w:val="en-US"/>
              </w:rPr>
              <w:t xml:space="preserve"> </w:t>
            </w:r>
            <w:r w:rsidR="007350D6">
              <w:rPr>
                <w:rFonts w:cstheme="minorHAnsi"/>
                <w:bCs/>
                <w:lang w:val="en-US"/>
              </w:rPr>
              <w:t xml:space="preserve">(reference) </w:t>
            </w:r>
            <w:r w:rsidR="009B5D6E">
              <w:rPr>
                <w:rFonts w:cstheme="minorHAnsi"/>
                <w:bCs/>
                <w:lang w:val="en-US"/>
              </w:rPr>
              <w:t>complies with the</w:t>
            </w:r>
            <w:r w:rsidR="000B4741">
              <w:rPr>
                <w:rFonts w:cstheme="minorHAnsi"/>
                <w:bCs/>
                <w:lang w:val="en-US"/>
              </w:rPr>
              <w:t xml:space="preserve"> applicable</w:t>
            </w:r>
            <w:r w:rsidR="009B5D6E">
              <w:rPr>
                <w:rFonts w:cstheme="minorHAnsi"/>
                <w:bCs/>
                <w:lang w:val="en-US"/>
              </w:rPr>
              <w:t xml:space="preserve"> requirements of similarity, substantial completion, role of the Bidder, period </w:t>
            </w:r>
            <w:r w:rsidR="009B5D6E" w:rsidRPr="009B5D6E">
              <w:rPr>
                <w:rFonts w:cstheme="minorHAnsi"/>
                <w:b/>
                <w:u w:val="single"/>
                <w:lang w:val="en-US"/>
              </w:rPr>
              <w:t>and</w:t>
            </w:r>
            <w:r w:rsidR="009B5D6E">
              <w:rPr>
                <w:rFonts w:cstheme="minorHAnsi"/>
                <w:bCs/>
                <w:lang w:val="en-US"/>
              </w:rPr>
              <w:t xml:space="preserve"> has a minimum value of (3*1.750.000 EUR =) 5.250.000 EUR </w:t>
            </w:r>
            <w:r w:rsidR="009B5D6E" w:rsidRPr="009B5D6E">
              <w:rPr>
                <w:rFonts w:cstheme="minorHAnsi"/>
                <w:b/>
                <w:u w:val="single"/>
                <w:lang w:val="en-US"/>
              </w:rPr>
              <w:t>and</w:t>
            </w:r>
            <w:r w:rsidR="009B5D6E">
              <w:rPr>
                <w:rFonts w:cstheme="minorHAnsi"/>
                <w:bCs/>
                <w:lang w:val="en-US"/>
              </w:rPr>
              <w:t xml:space="preserve"> is </w:t>
            </w:r>
            <w:r w:rsidR="009B5D6E">
              <w:rPr>
                <w:rFonts w:cstheme="minorHAnsi"/>
                <w:bCs/>
                <w:lang w:val="en-US"/>
              </w:rPr>
              <w:lastRenderedPageBreak/>
              <w:t xml:space="preserve">composed of a minimum of 3 lots </w:t>
            </w:r>
            <w:r w:rsidR="009B5D6E" w:rsidRPr="009B5D6E">
              <w:rPr>
                <w:rFonts w:cstheme="minorHAnsi"/>
                <w:b/>
                <w:u w:val="single"/>
                <w:lang w:val="en-US"/>
              </w:rPr>
              <w:t>and</w:t>
            </w:r>
            <w:r w:rsidR="009B5D6E">
              <w:rPr>
                <w:rFonts w:cstheme="minorHAnsi"/>
                <w:bCs/>
                <w:lang w:val="en-US"/>
              </w:rPr>
              <w:t xml:space="preserve"> a minimum of 3 lots have each a minimum value of 1.750.000 EUR, the contract reference may qualify for the</w:t>
            </w:r>
            <w:r w:rsidR="007350D6">
              <w:rPr>
                <w:rFonts w:cstheme="minorHAnsi"/>
                <w:bCs/>
                <w:lang w:val="en-US"/>
              </w:rPr>
              <w:t xml:space="preserve"> criteria </w:t>
            </w:r>
            <w:r w:rsidR="007350D6">
              <w:rPr>
                <w:rFonts w:cstheme="minorHAnsi"/>
                <w:bCs/>
                <w:lang w:val="en-US"/>
              </w:rPr>
              <w:t xml:space="preserve">4.1 </w:t>
            </w:r>
            <w:r w:rsidR="007350D6" w:rsidRPr="007350D6">
              <w:rPr>
                <w:rFonts w:cstheme="minorHAnsi"/>
                <w:bCs/>
                <w:lang w:val="en-US"/>
              </w:rPr>
              <w:t>Similar Experience</w:t>
            </w:r>
            <w:r w:rsidR="007350D6">
              <w:rPr>
                <w:rFonts w:cstheme="minorHAnsi"/>
                <w:bCs/>
                <w:lang w:val="en-US"/>
              </w:rPr>
              <w:t xml:space="preserve"> for</w:t>
            </w:r>
            <w:r w:rsidR="009B5D6E">
              <w:rPr>
                <w:rFonts w:cstheme="minorHAnsi"/>
                <w:bCs/>
                <w:lang w:val="en-US"/>
              </w:rPr>
              <w:t xml:space="preserve"> </w:t>
            </w:r>
            <w:r w:rsidR="007350D6">
              <w:rPr>
                <w:rFonts w:cstheme="minorHAnsi"/>
                <w:bCs/>
                <w:lang w:val="en-US"/>
              </w:rPr>
              <w:t>lot 1.</w:t>
            </w:r>
            <w:r w:rsidR="009B5D6E">
              <w:rPr>
                <w:rFonts w:cstheme="minorHAnsi"/>
                <w:bCs/>
                <w:lang w:val="en-US"/>
              </w:rPr>
              <w:t xml:space="preserve"> </w:t>
            </w:r>
          </w:p>
          <w:p w14:paraId="0BA8E502" w14:textId="49F4F9BA" w:rsidR="00235708" w:rsidRPr="0065418B" w:rsidRDefault="007350D6" w:rsidP="00235708">
            <w:pPr>
              <w:spacing w:before="40" w:after="40"/>
              <w:jc w:val="both"/>
              <w:rPr>
                <w:rFonts w:cstheme="minorHAnsi"/>
                <w:bCs/>
                <w:lang w:val="en-US"/>
              </w:rPr>
            </w:pPr>
            <w:r>
              <w:rPr>
                <w:rFonts w:cstheme="minorHAnsi"/>
                <w:bCs/>
                <w:lang w:val="en-US"/>
              </w:rPr>
              <w:t xml:space="preserve">In such case it is recommended to provide an explanatory note and supporting documents to substantiate the compliance with the applicable requirements. </w:t>
            </w:r>
            <w:r w:rsidR="009B5D6E">
              <w:rPr>
                <w:rFonts w:cstheme="minorHAnsi"/>
                <w:bCs/>
                <w:lang w:val="en-US"/>
              </w:rPr>
              <w:t xml:space="preserve">  </w:t>
            </w:r>
          </w:p>
        </w:tc>
      </w:tr>
      <w:tr w:rsidR="0065418B" w:rsidRPr="00814B72" w14:paraId="07095838" w14:textId="77777777" w:rsidTr="00612398">
        <w:trPr>
          <w:trHeight w:val="3994"/>
        </w:trPr>
        <w:tc>
          <w:tcPr>
            <w:tcW w:w="552" w:type="dxa"/>
          </w:tcPr>
          <w:p w14:paraId="1A55E08A" w14:textId="15A750DF" w:rsidR="0065418B" w:rsidRPr="00E12FEB" w:rsidRDefault="00A77C00" w:rsidP="0024048A">
            <w:pPr>
              <w:spacing w:before="40" w:after="40"/>
              <w:rPr>
                <w:rFonts w:cstheme="minorHAnsi"/>
                <w:lang w:val="en-GB"/>
              </w:rPr>
            </w:pPr>
            <w:r>
              <w:rPr>
                <w:rFonts w:cstheme="minorHAnsi"/>
                <w:lang w:val="en-GB"/>
              </w:rPr>
              <w:lastRenderedPageBreak/>
              <w:t>5</w:t>
            </w:r>
          </w:p>
        </w:tc>
        <w:tc>
          <w:tcPr>
            <w:tcW w:w="8090" w:type="dxa"/>
          </w:tcPr>
          <w:p w14:paraId="7C297E3D" w14:textId="07EA16BB" w:rsidR="001E6534" w:rsidRPr="001E6534" w:rsidRDefault="001E6534" w:rsidP="001E6534">
            <w:pPr>
              <w:spacing w:before="40" w:after="40"/>
              <w:jc w:val="both"/>
              <w:rPr>
                <w:rFonts w:cstheme="minorHAnsi"/>
                <w:lang w:val="en-US"/>
              </w:rPr>
            </w:pPr>
            <w:r w:rsidRPr="001E6534">
              <w:rPr>
                <w:rFonts w:cstheme="minorHAnsi"/>
                <w:lang w:val="en-US"/>
              </w:rPr>
              <w:t xml:space="preserve">Does the term “technicians” in the Bidder’s Technical Capacity mean </w:t>
            </w:r>
          </w:p>
          <w:p w14:paraId="5EDCDAA0" w14:textId="77777777" w:rsidR="001E6534" w:rsidRPr="001E6534" w:rsidRDefault="001E6534" w:rsidP="001E6534">
            <w:pPr>
              <w:spacing w:before="40" w:after="40"/>
              <w:jc w:val="both"/>
              <w:rPr>
                <w:rFonts w:cstheme="minorHAnsi"/>
                <w:lang w:val="en-US"/>
              </w:rPr>
            </w:pPr>
            <w:r w:rsidRPr="001E6534">
              <w:rPr>
                <w:rFonts w:cstheme="minorHAnsi"/>
                <w:lang w:val="en-US"/>
              </w:rPr>
              <w:t>technician from the distributor or sole agent in Indonesia or from our company?</w:t>
            </w:r>
          </w:p>
          <w:p w14:paraId="6B93D7A3" w14:textId="2E51334B" w:rsidR="009F6FB5" w:rsidRPr="001E6534" w:rsidRDefault="009F6FB5" w:rsidP="00323FA2">
            <w:pPr>
              <w:spacing w:before="40" w:after="40"/>
              <w:jc w:val="both"/>
              <w:rPr>
                <w:rFonts w:cstheme="minorHAnsi"/>
                <w:lang w:val="en-US"/>
              </w:rPr>
            </w:pPr>
          </w:p>
        </w:tc>
        <w:tc>
          <w:tcPr>
            <w:tcW w:w="5812" w:type="dxa"/>
          </w:tcPr>
          <w:p w14:paraId="54D4B0F5" w14:textId="77777777" w:rsidR="00814B72" w:rsidRDefault="00814B72" w:rsidP="00814B72">
            <w:pPr>
              <w:spacing w:before="40" w:after="40"/>
              <w:jc w:val="both"/>
              <w:rPr>
                <w:rFonts w:cstheme="minorHAnsi"/>
                <w:bCs/>
                <w:lang w:val="en-US"/>
              </w:rPr>
            </w:pPr>
            <w:r>
              <w:rPr>
                <w:rFonts w:cstheme="minorHAnsi"/>
                <w:bCs/>
                <w:lang w:val="en-US"/>
              </w:rPr>
              <w:t xml:space="preserve">Please refer to the Bidding Document, Section VII [Schedule of Requirements], 3. Technical Specifications, </w:t>
            </w:r>
          </w:p>
          <w:p w14:paraId="3A97E584" w14:textId="2F2763F2" w:rsidR="00814B72" w:rsidRPr="00814B72" w:rsidRDefault="00814B72" w:rsidP="00814B72">
            <w:pPr>
              <w:spacing w:before="40" w:after="40"/>
              <w:jc w:val="both"/>
              <w:rPr>
                <w:rFonts w:cstheme="minorHAnsi"/>
                <w:b/>
                <w:i/>
                <w:iCs/>
                <w:lang w:val="en-US"/>
              </w:rPr>
            </w:pPr>
            <w:r>
              <w:rPr>
                <w:rFonts w:cstheme="minorHAnsi"/>
                <w:b/>
                <w:lang w:val="en-US"/>
              </w:rPr>
              <w:t>“</w:t>
            </w:r>
            <w:r w:rsidRPr="00814B72">
              <w:rPr>
                <w:rFonts w:cstheme="minorHAnsi"/>
                <w:b/>
                <w:i/>
                <w:iCs/>
                <w:lang w:val="en-US"/>
              </w:rPr>
              <w:t>Bidder’s Technical Capacity</w:t>
            </w:r>
          </w:p>
          <w:p w14:paraId="24D3CAB3" w14:textId="77777777" w:rsidR="0065418B" w:rsidRDefault="00814B72" w:rsidP="00814B72">
            <w:pPr>
              <w:spacing w:before="40" w:after="40"/>
              <w:jc w:val="both"/>
              <w:rPr>
                <w:rFonts w:cstheme="minorHAnsi"/>
                <w:bCs/>
                <w:lang w:val="en-US"/>
              </w:rPr>
            </w:pPr>
            <w:r w:rsidRPr="00814B72">
              <w:rPr>
                <w:rFonts w:cstheme="minorHAnsi"/>
                <w:bCs/>
                <w:i/>
                <w:iCs/>
                <w:lang w:val="en-US"/>
              </w:rPr>
              <w:t xml:space="preserve">Bidder’s must have at least </w:t>
            </w:r>
            <w:r w:rsidRPr="00814B72">
              <w:rPr>
                <w:rFonts w:cstheme="minorHAnsi"/>
                <w:bCs/>
                <w:i/>
                <w:iCs/>
                <w:u w:val="single"/>
                <w:lang w:val="en-US"/>
              </w:rPr>
              <w:t xml:space="preserve">two (2) qualified </w:t>
            </w:r>
            <w:r w:rsidRPr="00814B72">
              <w:rPr>
                <w:rFonts w:cstheme="minorHAnsi"/>
                <w:b/>
                <w:i/>
                <w:iCs/>
                <w:u w:val="single"/>
                <w:lang w:val="en-US"/>
              </w:rPr>
              <w:t>equipment technicians or engineers, certified by the manufacturer(s)</w:t>
            </w:r>
            <w:r w:rsidRPr="00814B72">
              <w:rPr>
                <w:rFonts w:cstheme="minorHAnsi"/>
                <w:bCs/>
                <w:i/>
                <w:iCs/>
                <w:lang w:val="en-US"/>
              </w:rPr>
              <w:t xml:space="preserve"> where appropriate for the purpose of installation and training of major equipment, and </w:t>
            </w:r>
            <w:r w:rsidRPr="00814B72">
              <w:rPr>
                <w:rFonts w:cstheme="minorHAnsi"/>
                <w:bCs/>
                <w:i/>
                <w:iCs/>
                <w:u w:val="single"/>
                <w:lang w:val="en-US"/>
              </w:rPr>
              <w:t xml:space="preserve">available to </w:t>
            </w:r>
            <w:r w:rsidRPr="00814B72">
              <w:rPr>
                <w:rFonts w:cstheme="minorHAnsi"/>
                <w:b/>
                <w:i/>
                <w:iCs/>
                <w:u w:val="single"/>
                <w:lang w:val="en-US"/>
              </w:rPr>
              <w:t>support the local agent for after sales services</w:t>
            </w:r>
            <w:r w:rsidRPr="00814B72">
              <w:rPr>
                <w:rFonts w:cstheme="minorHAnsi"/>
                <w:bCs/>
                <w:i/>
                <w:iCs/>
                <w:u w:val="single"/>
                <w:lang w:val="en-US"/>
              </w:rPr>
              <w:t xml:space="preserve"> on short notice</w:t>
            </w:r>
            <w:r w:rsidRPr="00814B72">
              <w:rPr>
                <w:rFonts w:cstheme="minorHAnsi"/>
                <w:bCs/>
                <w:i/>
                <w:iCs/>
                <w:lang w:val="en-US"/>
              </w:rPr>
              <w:t>. Submit CV’s in the technical bid.</w:t>
            </w:r>
            <w:r>
              <w:rPr>
                <w:rFonts w:cstheme="minorHAnsi"/>
                <w:bCs/>
                <w:lang w:val="en-US"/>
              </w:rPr>
              <w:t>”</w:t>
            </w:r>
          </w:p>
          <w:p w14:paraId="33F76CEB" w14:textId="77777777" w:rsidR="00814B72" w:rsidRDefault="00814B72" w:rsidP="00814B72">
            <w:pPr>
              <w:spacing w:before="40" w:after="40"/>
              <w:jc w:val="both"/>
              <w:rPr>
                <w:rFonts w:cstheme="minorHAnsi"/>
                <w:bCs/>
                <w:lang w:val="en-US"/>
              </w:rPr>
            </w:pPr>
            <w:r>
              <w:rPr>
                <w:rFonts w:cstheme="minorHAnsi"/>
                <w:bCs/>
                <w:lang w:val="en-US"/>
              </w:rPr>
              <w:t>AND</w:t>
            </w:r>
          </w:p>
          <w:p w14:paraId="4E0F4C7B" w14:textId="238C817B" w:rsidR="00814B72" w:rsidRPr="00814B72" w:rsidRDefault="00814B72" w:rsidP="00814B72">
            <w:pPr>
              <w:spacing w:before="40" w:after="40"/>
              <w:jc w:val="both"/>
              <w:rPr>
                <w:rFonts w:cstheme="minorHAnsi"/>
                <w:b/>
                <w:i/>
                <w:iCs/>
                <w:lang w:val="en-US"/>
              </w:rPr>
            </w:pPr>
            <w:r>
              <w:rPr>
                <w:rFonts w:cstheme="minorHAnsi"/>
                <w:b/>
                <w:lang w:val="en-US"/>
              </w:rPr>
              <w:t>“</w:t>
            </w:r>
            <w:r w:rsidRPr="00814B72">
              <w:rPr>
                <w:rFonts w:cstheme="minorHAnsi"/>
                <w:b/>
                <w:i/>
                <w:iCs/>
                <w:lang w:val="en-US"/>
              </w:rPr>
              <w:t>After Sales Service (Local Agent)</w:t>
            </w:r>
          </w:p>
          <w:p w14:paraId="744EB03F" w14:textId="77777777" w:rsidR="00814B72" w:rsidRDefault="00814B72" w:rsidP="00814B72">
            <w:pPr>
              <w:spacing w:before="40" w:after="40"/>
              <w:jc w:val="both"/>
              <w:rPr>
                <w:rFonts w:cstheme="minorHAnsi"/>
                <w:bCs/>
                <w:lang w:val="en-US"/>
              </w:rPr>
            </w:pPr>
            <w:r w:rsidRPr="00814B72">
              <w:rPr>
                <w:rFonts w:cstheme="minorHAnsi"/>
                <w:bCs/>
                <w:i/>
                <w:iCs/>
                <w:lang w:val="en-US"/>
              </w:rPr>
              <w:t xml:space="preserve">The bidder’s local agent, in the Purchaser’s country, </w:t>
            </w:r>
            <w:r w:rsidRPr="00814B72">
              <w:rPr>
                <w:rFonts w:cstheme="minorHAnsi"/>
                <w:bCs/>
                <w:i/>
                <w:iCs/>
                <w:u w:val="single"/>
                <w:lang w:val="en-US"/>
              </w:rPr>
              <w:t>must be a qualified firm handling</w:t>
            </w:r>
            <w:r w:rsidRPr="00814B72">
              <w:rPr>
                <w:rFonts w:cstheme="minorHAnsi"/>
                <w:bCs/>
                <w:i/>
                <w:iCs/>
                <w:u w:val="single"/>
                <w:lang w:val="en-US"/>
              </w:rPr>
              <w:t xml:space="preserve"> </w:t>
            </w:r>
            <w:r w:rsidRPr="00814B72">
              <w:rPr>
                <w:rFonts w:cstheme="minorHAnsi"/>
                <w:bCs/>
                <w:i/>
                <w:iCs/>
                <w:u w:val="single"/>
                <w:lang w:val="en-US"/>
              </w:rPr>
              <w:t xml:space="preserve">goods’ similar to those offered within their business activities, and </w:t>
            </w:r>
            <w:r w:rsidRPr="00814B72">
              <w:rPr>
                <w:rFonts w:cstheme="minorHAnsi"/>
                <w:b/>
                <w:i/>
                <w:iCs/>
                <w:u w:val="single"/>
                <w:lang w:val="en-US"/>
              </w:rPr>
              <w:t>must have access to two qualified technicians or engineers from the bidder for support if needed</w:t>
            </w:r>
            <w:r w:rsidRPr="00814B72">
              <w:rPr>
                <w:rFonts w:cstheme="minorHAnsi"/>
                <w:bCs/>
                <w:i/>
                <w:iCs/>
                <w:u w:val="single"/>
                <w:lang w:val="en-US"/>
              </w:rPr>
              <w:t>.</w:t>
            </w:r>
            <w:r w:rsidRPr="00814B72">
              <w:rPr>
                <w:rFonts w:cstheme="minorHAnsi"/>
                <w:bCs/>
                <w:i/>
                <w:iCs/>
                <w:u w:val="single"/>
                <w:lang w:val="en-US"/>
              </w:rPr>
              <w:t xml:space="preserve"> </w:t>
            </w:r>
            <w:r w:rsidRPr="00814B72">
              <w:rPr>
                <w:rFonts w:cstheme="minorHAnsi"/>
                <w:bCs/>
                <w:i/>
                <w:iCs/>
                <w:lang w:val="en-US"/>
              </w:rPr>
              <w:t>(…)</w:t>
            </w:r>
            <w:r>
              <w:rPr>
                <w:rFonts w:cstheme="minorHAnsi"/>
                <w:bCs/>
                <w:lang w:val="en-US"/>
              </w:rPr>
              <w:t>”</w:t>
            </w:r>
          </w:p>
          <w:p w14:paraId="4C898486" w14:textId="77777777" w:rsidR="0046767A" w:rsidRDefault="0046767A" w:rsidP="00814B72">
            <w:pPr>
              <w:spacing w:before="40" w:after="40"/>
              <w:jc w:val="both"/>
              <w:rPr>
                <w:rFonts w:cstheme="minorHAnsi"/>
                <w:bCs/>
                <w:lang w:val="en-US"/>
              </w:rPr>
            </w:pPr>
          </w:p>
          <w:p w14:paraId="21C46953" w14:textId="2741A4D1" w:rsidR="0046767A" w:rsidRPr="0065418B" w:rsidRDefault="0046767A" w:rsidP="00814B72">
            <w:pPr>
              <w:spacing w:before="40" w:after="40"/>
              <w:jc w:val="both"/>
              <w:rPr>
                <w:rFonts w:cstheme="minorHAnsi"/>
                <w:bCs/>
                <w:lang w:val="en-US"/>
              </w:rPr>
            </w:pPr>
            <w:r>
              <w:rPr>
                <w:rFonts w:cstheme="minorHAnsi"/>
                <w:bCs/>
                <w:lang w:val="en-US"/>
              </w:rPr>
              <w:t>With the intention to give an exact answer to the specific question,</w:t>
            </w:r>
            <w:r>
              <w:rPr>
                <w:rFonts w:cstheme="minorHAnsi"/>
                <w:bCs/>
                <w:lang w:val="en-US"/>
              </w:rPr>
              <w:t xml:space="preserve"> the Bidder shall provide two (2) </w:t>
            </w:r>
            <w:r w:rsidRPr="0046767A">
              <w:rPr>
                <w:rFonts w:cstheme="minorHAnsi"/>
                <w:bCs/>
                <w:lang w:val="en-US"/>
              </w:rPr>
              <w:t>equipment technicians or engineers</w:t>
            </w:r>
            <w:r>
              <w:rPr>
                <w:rFonts w:cstheme="minorHAnsi"/>
                <w:bCs/>
                <w:lang w:val="en-US"/>
              </w:rPr>
              <w:t xml:space="preserve"> responsive to the criteria of the Bidding Document, which are understood to be assigned by the Bidder to support the local agent. The Bidder shall provide the CVs of this </w:t>
            </w:r>
            <w:r>
              <w:rPr>
                <w:rFonts w:cstheme="minorHAnsi"/>
                <w:bCs/>
                <w:lang w:val="en-US"/>
              </w:rPr>
              <w:t xml:space="preserve">two (2) </w:t>
            </w:r>
            <w:r w:rsidRPr="0046767A">
              <w:rPr>
                <w:rFonts w:cstheme="minorHAnsi"/>
                <w:bCs/>
                <w:lang w:val="en-US"/>
              </w:rPr>
              <w:t>equipment technicians or engineers</w:t>
            </w:r>
            <w:r>
              <w:rPr>
                <w:rFonts w:cstheme="minorHAnsi"/>
                <w:bCs/>
                <w:lang w:val="en-US"/>
              </w:rPr>
              <w:t xml:space="preserve">, as part of his Bid.  </w:t>
            </w:r>
          </w:p>
        </w:tc>
      </w:tr>
    </w:tbl>
    <w:p w14:paraId="05B63610" w14:textId="77777777" w:rsidR="00CC5552" w:rsidRPr="0065418B" w:rsidRDefault="00CC5552" w:rsidP="00CC5552">
      <w:pPr>
        <w:rPr>
          <w:lang w:val="en-US"/>
        </w:rPr>
      </w:pPr>
    </w:p>
    <w:p w14:paraId="6ED071A7" w14:textId="77777777" w:rsidR="002334E3" w:rsidRPr="0065418B" w:rsidRDefault="002334E3" w:rsidP="00CC5552">
      <w:pPr>
        <w:rPr>
          <w:lang w:val="en-US"/>
        </w:rPr>
      </w:pPr>
    </w:p>
    <w:sectPr w:rsidR="002334E3" w:rsidRPr="0065418B" w:rsidSect="00CC2D49">
      <w:pgSz w:w="16838" w:h="11906" w:orient="landscape"/>
      <w:pgMar w:top="851" w:right="110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552"/>
    <w:multiLevelType w:val="multilevel"/>
    <w:tmpl w:val="D3420B8C"/>
    <w:lvl w:ilvl="0">
      <w:start w:val="1"/>
      <w:numFmt w:val="decimal"/>
      <w:pStyle w:val="berschrift1"/>
      <w:lvlText w:val="%1"/>
      <w:lvlJc w:val="left"/>
      <w:pPr>
        <w:ind w:left="2276" w:hanging="432"/>
      </w:pPr>
    </w:lvl>
    <w:lvl w:ilvl="1">
      <w:start w:val="1"/>
      <w:numFmt w:val="decimal"/>
      <w:lvlText w:val="%1.%2"/>
      <w:lvlJc w:val="left"/>
      <w:pPr>
        <w:ind w:left="860" w:hanging="576"/>
      </w:pPr>
      <w:rPr>
        <w:rFonts w:asciiTheme="minorHAnsi" w:hAnsiTheme="minorHAnsi" w:cstheme="minorHAnsi" w:hint="default"/>
      </w:rPr>
    </w:lvl>
    <w:lvl w:ilvl="2">
      <w:start w:val="1"/>
      <w:numFmt w:val="decimal"/>
      <w:pStyle w:val="berschrift3"/>
      <w:lvlText w:val="%1.%2.%3"/>
      <w:lvlJc w:val="left"/>
      <w:pPr>
        <w:ind w:left="1288" w:hanging="720"/>
      </w:pPr>
      <w:rPr>
        <w:sz w:val="20"/>
        <w:szCs w:val="20"/>
      </w:rPr>
    </w:lvl>
    <w:lvl w:ilvl="3">
      <w:start w:val="1"/>
      <w:numFmt w:val="decimal"/>
      <w:lvlText w:val="%1.%2.%3.%4"/>
      <w:lvlJc w:val="left"/>
      <w:pPr>
        <w:ind w:left="1999" w:hanging="864"/>
      </w:pPr>
    </w:lvl>
    <w:lvl w:ilvl="4">
      <w:start w:val="1"/>
      <w:numFmt w:val="decimal"/>
      <w:lvlText w:val="%1.%2.%3.%4.%5"/>
      <w:lvlJc w:val="left"/>
      <w:pPr>
        <w:ind w:left="1010" w:hanging="1008"/>
      </w:pPr>
    </w:lvl>
    <w:lvl w:ilvl="5">
      <w:start w:val="1"/>
      <w:numFmt w:val="decimal"/>
      <w:lvlText w:val="%1.%2.%3.%4.%5.%6"/>
      <w:lvlJc w:val="left"/>
      <w:pPr>
        <w:ind w:left="1154" w:hanging="1152"/>
      </w:pPr>
    </w:lvl>
    <w:lvl w:ilvl="6">
      <w:start w:val="1"/>
      <w:numFmt w:val="decimal"/>
      <w:lvlText w:val="%1.%2.%3.%4.%5.%6.%7"/>
      <w:lvlJc w:val="left"/>
      <w:pPr>
        <w:ind w:left="1298" w:hanging="1296"/>
      </w:pPr>
    </w:lvl>
    <w:lvl w:ilvl="7">
      <w:start w:val="1"/>
      <w:numFmt w:val="decimal"/>
      <w:lvlText w:val="%1.%2.%3.%4.%5.%6.%7.%8"/>
      <w:lvlJc w:val="left"/>
      <w:pPr>
        <w:ind w:left="1442" w:hanging="1440"/>
      </w:pPr>
    </w:lvl>
    <w:lvl w:ilvl="8">
      <w:start w:val="1"/>
      <w:numFmt w:val="decimal"/>
      <w:lvlText w:val="%1.%2.%3.%4.%5.%6.%7.%8.%9"/>
      <w:lvlJc w:val="left"/>
      <w:pPr>
        <w:ind w:left="1586" w:hanging="1584"/>
      </w:pPr>
    </w:lvl>
  </w:abstractNum>
  <w:abstractNum w:abstractNumId="1" w15:restartNumberingAfterBreak="0">
    <w:nsid w:val="0DBF79E9"/>
    <w:multiLevelType w:val="hybridMultilevel"/>
    <w:tmpl w:val="0CBC0028"/>
    <w:lvl w:ilvl="0" w:tplc="7624A2C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76672C"/>
    <w:multiLevelType w:val="hybridMultilevel"/>
    <w:tmpl w:val="7930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B1C36"/>
    <w:multiLevelType w:val="hybridMultilevel"/>
    <w:tmpl w:val="0CBC0028"/>
    <w:lvl w:ilvl="0" w:tplc="7624A2C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160FDE"/>
    <w:multiLevelType w:val="hybridMultilevel"/>
    <w:tmpl w:val="0CBC0028"/>
    <w:lvl w:ilvl="0" w:tplc="7624A2C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F53388"/>
    <w:multiLevelType w:val="multilevel"/>
    <w:tmpl w:val="2F703126"/>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566DE4"/>
    <w:multiLevelType w:val="hybridMultilevel"/>
    <w:tmpl w:val="0CBC0028"/>
    <w:lvl w:ilvl="0" w:tplc="7624A2C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0C44D3"/>
    <w:multiLevelType w:val="hybridMultilevel"/>
    <w:tmpl w:val="0CBC0028"/>
    <w:lvl w:ilvl="0" w:tplc="7624A2C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F02403A"/>
    <w:multiLevelType w:val="hybridMultilevel"/>
    <w:tmpl w:val="BA920570"/>
    <w:lvl w:ilvl="0" w:tplc="0856227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87B26"/>
    <w:multiLevelType w:val="hybridMultilevel"/>
    <w:tmpl w:val="01823F44"/>
    <w:lvl w:ilvl="0" w:tplc="C2CED49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6457FE"/>
    <w:multiLevelType w:val="hybridMultilevel"/>
    <w:tmpl w:val="0CBC0028"/>
    <w:lvl w:ilvl="0" w:tplc="7624A2C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986BB0"/>
    <w:multiLevelType w:val="hybridMultilevel"/>
    <w:tmpl w:val="42DE99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B6311C"/>
    <w:multiLevelType w:val="multilevel"/>
    <w:tmpl w:val="5B90FAAE"/>
    <w:lvl w:ilvl="0">
      <w:start w:val="1"/>
      <w:numFmt w:val="decimal"/>
      <w:lvlText w:val="%1."/>
      <w:lvlJc w:val="left"/>
      <w:pPr>
        <w:ind w:left="360" w:hanging="360"/>
      </w:pPr>
      <w:rPr>
        <w:rFonts w:hint="default"/>
      </w:rPr>
    </w:lvl>
    <w:lvl w:ilvl="1">
      <w:start w:val="1"/>
      <w:numFmt w:val="decimal"/>
      <w:lvlText w:val="%1.%2"/>
      <w:lvlJc w:val="left"/>
      <w:pPr>
        <w:tabs>
          <w:tab w:val="num" w:pos="1134"/>
        </w:tabs>
        <w:ind w:left="1134" w:hanging="1134"/>
      </w:pPr>
      <w:rPr>
        <w:rFonts w:hint="default"/>
        <w:color w:val="auto"/>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2"/>
        </w:tabs>
        <w:ind w:left="1702"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30384992">
    <w:abstractNumId w:val="12"/>
  </w:num>
  <w:num w:numId="2" w16cid:durableId="1560937684">
    <w:abstractNumId w:val="12"/>
  </w:num>
  <w:num w:numId="3" w16cid:durableId="275211753">
    <w:abstractNumId w:val="12"/>
  </w:num>
  <w:num w:numId="4" w16cid:durableId="670564410">
    <w:abstractNumId w:val="12"/>
  </w:num>
  <w:num w:numId="5" w16cid:durableId="2093427315">
    <w:abstractNumId w:val="12"/>
  </w:num>
  <w:num w:numId="6" w16cid:durableId="1037389726">
    <w:abstractNumId w:val="12"/>
  </w:num>
  <w:num w:numId="7" w16cid:durableId="1315991491">
    <w:abstractNumId w:val="12"/>
  </w:num>
  <w:num w:numId="8" w16cid:durableId="1299073123">
    <w:abstractNumId w:val="0"/>
  </w:num>
  <w:num w:numId="9" w16cid:durableId="1928075521">
    <w:abstractNumId w:val="5"/>
  </w:num>
  <w:num w:numId="10" w16cid:durableId="875776319">
    <w:abstractNumId w:val="10"/>
  </w:num>
  <w:num w:numId="11" w16cid:durableId="1381325869">
    <w:abstractNumId w:val="4"/>
  </w:num>
  <w:num w:numId="12" w16cid:durableId="2038387212">
    <w:abstractNumId w:val="7"/>
  </w:num>
  <w:num w:numId="13" w16cid:durableId="17241672">
    <w:abstractNumId w:val="1"/>
  </w:num>
  <w:num w:numId="14" w16cid:durableId="1825658365">
    <w:abstractNumId w:val="6"/>
  </w:num>
  <w:num w:numId="15" w16cid:durableId="658926833">
    <w:abstractNumId w:val="3"/>
  </w:num>
  <w:num w:numId="16" w16cid:durableId="1096633447">
    <w:abstractNumId w:val="11"/>
  </w:num>
  <w:num w:numId="17" w16cid:durableId="722338663">
    <w:abstractNumId w:val="2"/>
  </w:num>
  <w:num w:numId="18" w16cid:durableId="1217469359">
    <w:abstractNumId w:val="8"/>
  </w:num>
  <w:num w:numId="19" w16cid:durableId="1664315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E3"/>
    <w:rsid w:val="00003C2A"/>
    <w:rsid w:val="00012C89"/>
    <w:rsid w:val="00017353"/>
    <w:rsid w:val="00017B54"/>
    <w:rsid w:val="000312CD"/>
    <w:rsid w:val="0003423C"/>
    <w:rsid w:val="00035024"/>
    <w:rsid w:val="00070DCD"/>
    <w:rsid w:val="00071986"/>
    <w:rsid w:val="00090A3D"/>
    <w:rsid w:val="0009203F"/>
    <w:rsid w:val="000929D2"/>
    <w:rsid w:val="000A2E07"/>
    <w:rsid w:val="000A511B"/>
    <w:rsid w:val="000B1497"/>
    <w:rsid w:val="000B4741"/>
    <w:rsid w:val="000C74E7"/>
    <w:rsid w:val="000E1597"/>
    <w:rsid w:val="0010066D"/>
    <w:rsid w:val="00110391"/>
    <w:rsid w:val="00112E4F"/>
    <w:rsid w:val="00123868"/>
    <w:rsid w:val="00125B26"/>
    <w:rsid w:val="00126997"/>
    <w:rsid w:val="00127A05"/>
    <w:rsid w:val="00137185"/>
    <w:rsid w:val="00146654"/>
    <w:rsid w:val="00147C9D"/>
    <w:rsid w:val="00152827"/>
    <w:rsid w:val="00165021"/>
    <w:rsid w:val="0016752A"/>
    <w:rsid w:val="001779F1"/>
    <w:rsid w:val="00187418"/>
    <w:rsid w:val="00197F0B"/>
    <w:rsid w:val="001A43F4"/>
    <w:rsid w:val="001B5425"/>
    <w:rsid w:val="001D757F"/>
    <w:rsid w:val="001E0BE9"/>
    <w:rsid w:val="001E6534"/>
    <w:rsid w:val="001F5C55"/>
    <w:rsid w:val="00222E0F"/>
    <w:rsid w:val="002334E3"/>
    <w:rsid w:val="002351C8"/>
    <w:rsid w:val="00235708"/>
    <w:rsid w:val="002404DA"/>
    <w:rsid w:val="002467C9"/>
    <w:rsid w:val="00257786"/>
    <w:rsid w:val="00270E89"/>
    <w:rsid w:val="0027792F"/>
    <w:rsid w:val="00285456"/>
    <w:rsid w:val="00291BD0"/>
    <w:rsid w:val="00291F92"/>
    <w:rsid w:val="002B1A2A"/>
    <w:rsid w:val="002E3DEE"/>
    <w:rsid w:val="00301777"/>
    <w:rsid w:val="00307383"/>
    <w:rsid w:val="00323FA2"/>
    <w:rsid w:val="003309BF"/>
    <w:rsid w:val="00334CB4"/>
    <w:rsid w:val="00336E74"/>
    <w:rsid w:val="00344240"/>
    <w:rsid w:val="00355AD9"/>
    <w:rsid w:val="00370440"/>
    <w:rsid w:val="00380605"/>
    <w:rsid w:val="00384D38"/>
    <w:rsid w:val="00391E27"/>
    <w:rsid w:val="003B1949"/>
    <w:rsid w:val="003B43E7"/>
    <w:rsid w:val="003C6DEE"/>
    <w:rsid w:val="00422F76"/>
    <w:rsid w:val="00432020"/>
    <w:rsid w:val="004371F1"/>
    <w:rsid w:val="00465F43"/>
    <w:rsid w:val="00466DE2"/>
    <w:rsid w:val="0046767A"/>
    <w:rsid w:val="004679B4"/>
    <w:rsid w:val="004E145B"/>
    <w:rsid w:val="004E5B31"/>
    <w:rsid w:val="004E6581"/>
    <w:rsid w:val="00506AAE"/>
    <w:rsid w:val="005076E1"/>
    <w:rsid w:val="00510245"/>
    <w:rsid w:val="00557533"/>
    <w:rsid w:val="005A4D19"/>
    <w:rsid w:val="005B7B69"/>
    <w:rsid w:val="005C05D8"/>
    <w:rsid w:val="005C5F3E"/>
    <w:rsid w:val="005D3804"/>
    <w:rsid w:val="006003F8"/>
    <w:rsid w:val="00612398"/>
    <w:rsid w:val="006159DF"/>
    <w:rsid w:val="00641212"/>
    <w:rsid w:val="0065418B"/>
    <w:rsid w:val="0066735C"/>
    <w:rsid w:val="006950FF"/>
    <w:rsid w:val="006A4566"/>
    <w:rsid w:val="006B659D"/>
    <w:rsid w:val="006C0841"/>
    <w:rsid w:val="006D6F83"/>
    <w:rsid w:val="006E3539"/>
    <w:rsid w:val="006F3D94"/>
    <w:rsid w:val="007049F4"/>
    <w:rsid w:val="00710B32"/>
    <w:rsid w:val="007261A4"/>
    <w:rsid w:val="00727BC9"/>
    <w:rsid w:val="0073043E"/>
    <w:rsid w:val="007350D6"/>
    <w:rsid w:val="00735B7C"/>
    <w:rsid w:val="00761651"/>
    <w:rsid w:val="00767371"/>
    <w:rsid w:val="007725D1"/>
    <w:rsid w:val="00772AC0"/>
    <w:rsid w:val="0078045F"/>
    <w:rsid w:val="00783902"/>
    <w:rsid w:val="007A64C0"/>
    <w:rsid w:val="007D09C9"/>
    <w:rsid w:val="007D0A85"/>
    <w:rsid w:val="007D49B6"/>
    <w:rsid w:val="007D75D8"/>
    <w:rsid w:val="008019A0"/>
    <w:rsid w:val="0080472A"/>
    <w:rsid w:val="00810FC2"/>
    <w:rsid w:val="00814B72"/>
    <w:rsid w:val="00817D72"/>
    <w:rsid w:val="00822748"/>
    <w:rsid w:val="00823893"/>
    <w:rsid w:val="00837710"/>
    <w:rsid w:val="00837C0F"/>
    <w:rsid w:val="00851C68"/>
    <w:rsid w:val="00854C2F"/>
    <w:rsid w:val="0085594E"/>
    <w:rsid w:val="00856976"/>
    <w:rsid w:val="00856D7C"/>
    <w:rsid w:val="008869BB"/>
    <w:rsid w:val="00892379"/>
    <w:rsid w:val="00893768"/>
    <w:rsid w:val="008A5947"/>
    <w:rsid w:val="008C34B1"/>
    <w:rsid w:val="008F746C"/>
    <w:rsid w:val="00907C84"/>
    <w:rsid w:val="0092603D"/>
    <w:rsid w:val="00932BFD"/>
    <w:rsid w:val="0093497E"/>
    <w:rsid w:val="00941267"/>
    <w:rsid w:val="009565DD"/>
    <w:rsid w:val="00961E94"/>
    <w:rsid w:val="00966996"/>
    <w:rsid w:val="00976E6A"/>
    <w:rsid w:val="00984CEF"/>
    <w:rsid w:val="0099147F"/>
    <w:rsid w:val="009A2037"/>
    <w:rsid w:val="009B5D6E"/>
    <w:rsid w:val="009D7895"/>
    <w:rsid w:val="009E4108"/>
    <w:rsid w:val="009E618A"/>
    <w:rsid w:val="009E7269"/>
    <w:rsid w:val="009F6FB5"/>
    <w:rsid w:val="00A01B7B"/>
    <w:rsid w:val="00A0352E"/>
    <w:rsid w:val="00A15AF0"/>
    <w:rsid w:val="00A24E7E"/>
    <w:rsid w:val="00A43E61"/>
    <w:rsid w:val="00A52991"/>
    <w:rsid w:val="00A55A14"/>
    <w:rsid w:val="00A55FEA"/>
    <w:rsid w:val="00A5782C"/>
    <w:rsid w:val="00A61202"/>
    <w:rsid w:val="00A65046"/>
    <w:rsid w:val="00A72A1E"/>
    <w:rsid w:val="00A72D8C"/>
    <w:rsid w:val="00A76FC7"/>
    <w:rsid w:val="00A77C00"/>
    <w:rsid w:val="00A86C4E"/>
    <w:rsid w:val="00A963E2"/>
    <w:rsid w:val="00AC7684"/>
    <w:rsid w:val="00AD1995"/>
    <w:rsid w:val="00AD227A"/>
    <w:rsid w:val="00AD4184"/>
    <w:rsid w:val="00AD5EBB"/>
    <w:rsid w:val="00AD7786"/>
    <w:rsid w:val="00AF1A43"/>
    <w:rsid w:val="00AF4D24"/>
    <w:rsid w:val="00AF7A49"/>
    <w:rsid w:val="00B06F8E"/>
    <w:rsid w:val="00B07938"/>
    <w:rsid w:val="00B168C1"/>
    <w:rsid w:val="00B24273"/>
    <w:rsid w:val="00B35A83"/>
    <w:rsid w:val="00B43E2A"/>
    <w:rsid w:val="00B53029"/>
    <w:rsid w:val="00B6198A"/>
    <w:rsid w:val="00B61F0A"/>
    <w:rsid w:val="00B804A2"/>
    <w:rsid w:val="00BA43CF"/>
    <w:rsid w:val="00BA48EB"/>
    <w:rsid w:val="00BA626D"/>
    <w:rsid w:val="00BB0FB8"/>
    <w:rsid w:val="00BB3CFB"/>
    <w:rsid w:val="00BB4AF6"/>
    <w:rsid w:val="00BC1B46"/>
    <w:rsid w:val="00BE4945"/>
    <w:rsid w:val="00BE6255"/>
    <w:rsid w:val="00BF2BE6"/>
    <w:rsid w:val="00BF4805"/>
    <w:rsid w:val="00C03D0D"/>
    <w:rsid w:val="00C20ADC"/>
    <w:rsid w:val="00C26E83"/>
    <w:rsid w:val="00C370B8"/>
    <w:rsid w:val="00C37EDF"/>
    <w:rsid w:val="00C44655"/>
    <w:rsid w:val="00C465F7"/>
    <w:rsid w:val="00C64D9D"/>
    <w:rsid w:val="00C75046"/>
    <w:rsid w:val="00C91989"/>
    <w:rsid w:val="00C91F2E"/>
    <w:rsid w:val="00C934A7"/>
    <w:rsid w:val="00CB39B5"/>
    <w:rsid w:val="00CB5EAC"/>
    <w:rsid w:val="00CB6F3B"/>
    <w:rsid w:val="00CC089A"/>
    <w:rsid w:val="00CC2D49"/>
    <w:rsid w:val="00CC5552"/>
    <w:rsid w:val="00CD3BFE"/>
    <w:rsid w:val="00D0541B"/>
    <w:rsid w:val="00D13BC2"/>
    <w:rsid w:val="00D2733F"/>
    <w:rsid w:val="00D429BA"/>
    <w:rsid w:val="00D438CF"/>
    <w:rsid w:val="00D5415A"/>
    <w:rsid w:val="00D54C70"/>
    <w:rsid w:val="00D61D97"/>
    <w:rsid w:val="00D84F2E"/>
    <w:rsid w:val="00D85E33"/>
    <w:rsid w:val="00DA220E"/>
    <w:rsid w:val="00DF0DD2"/>
    <w:rsid w:val="00E12FEB"/>
    <w:rsid w:val="00E2789D"/>
    <w:rsid w:val="00E319AD"/>
    <w:rsid w:val="00E539F1"/>
    <w:rsid w:val="00E54407"/>
    <w:rsid w:val="00E639BB"/>
    <w:rsid w:val="00E82E66"/>
    <w:rsid w:val="00EA2BA4"/>
    <w:rsid w:val="00EB5D88"/>
    <w:rsid w:val="00EC0BD9"/>
    <w:rsid w:val="00EE5403"/>
    <w:rsid w:val="00EE606E"/>
    <w:rsid w:val="00F370D7"/>
    <w:rsid w:val="00F46FC9"/>
    <w:rsid w:val="00F71CC6"/>
    <w:rsid w:val="00F72727"/>
    <w:rsid w:val="00F73626"/>
    <w:rsid w:val="00F83725"/>
    <w:rsid w:val="00F93CFA"/>
    <w:rsid w:val="00F95CA1"/>
    <w:rsid w:val="00FA2C17"/>
    <w:rsid w:val="00FB5350"/>
    <w:rsid w:val="00FC5221"/>
    <w:rsid w:val="00FE532F"/>
    <w:rsid w:val="00FF4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CDA9"/>
  <w15:chartTrackingRefBased/>
  <w15:docId w15:val="{FEAF753F-B1CD-4F3D-B82B-CD16B3E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5552"/>
  </w:style>
  <w:style w:type="paragraph" w:styleId="berschrift1">
    <w:name w:val="heading 1"/>
    <w:aliases w:val="GITEC 1. Chapter Heading,Gitec heading 1"/>
    <w:basedOn w:val="Standard"/>
    <w:next w:val="Standard"/>
    <w:link w:val="berschrift1Zchn"/>
    <w:autoRedefine/>
    <w:qFormat/>
    <w:rsid w:val="00EE5403"/>
    <w:pPr>
      <w:keepNext/>
      <w:keepLines/>
      <w:pageBreakBefore/>
      <w:numPr>
        <w:numId w:val="8"/>
      </w:numPr>
      <w:spacing w:before="240" w:after="120" w:line="240" w:lineRule="auto"/>
      <w:outlineLvl w:val="0"/>
    </w:pPr>
    <w:rPr>
      <w:rFonts w:cstheme="minorHAnsi"/>
      <w:b/>
      <w:bCs/>
      <w:caps/>
      <w:kern w:val="32"/>
      <w:szCs w:val="32"/>
      <w:lang w:val="fr-FR"/>
    </w:rPr>
  </w:style>
  <w:style w:type="paragraph" w:styleId="berschrift2">
    <w:name w:val="heading 2"/>
    <w:aliases w:val="GITEC 2. Chapter Heading,Gitec Heading 2"/>
    <w:basedOn w:val="Standard"/>
    <w:next w:val="Standard"/>
    <w:link w:val="berschrift2Zchn"/>
    <w:autoRedefine/>
    <w:uiPriority w:val="99"/>
    <w:qFormat/>
    <w:rsid w:val="00380605"/>
    <w:pPr>
      <w:keepLines/>
      <w:numPr>
        <w:ilvl w:val="1"/>
        <w:numId w:val="9"/>
      </w:numPr>
      <w:spacing w:before="240" w:after="240" w:line="240" w:lineRule="auto"/>
      <w:ind w:left="992" w:hanging="992"/>
      <w:outlineLvl w:val="1"/>
    </w:pPr>
    <w:rPr>
      <w:rFonts w:cs="Arial"/>
      <w:b/>
      <w:bCs/>
      <w:iCs/>
      <w:szCs w:val="28"/>
      <w:lang w:val="fr-FR"/>
    </w:rPr>
  </w:style>
  <w:style w:type="paragraph" w:styleId="berschrift3">
    <w:name w:val="heading 3"/>
    <w:aliases w:val="GITEC 3. Chapter Heading,Gitec Heading 3"/>
    <w:basedOn w:val="Standard"/>
    <w:next w:val="Standard"/>
    <w:link w:val="berschrift3Zchn"/>
    <w:autoRedefine/>
    <w:qFormat/>
    <w:rsid w:val="00EE5403"/>
    <w:pPr>
      <w:keepNext/>
      <w:keepLines/>
      <w:numPr>
        <w:ilvl w:val="2"/>
        <w:numId w:val="8"/>
      </w:numPr>
      <w:spacing w:before="120" w:after="120" w:line="240" w:lineRule="auto"/>
      <w:jc w:val="both"/>
      <w:outlineLvl w:val="2"/>
    </w:pPr>
    <w:rPr>
      <w:rFonts w:cs="Arial"/>
      <w:b/>
      <w:bCs/>
      <w:szCs w:val="26"/>
      <w:lang w:val="fr-F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qFormat/>
    <w:rsid w:val="00907C84"/>
    <w:pPr>
      <w:tabs>
        <w:tab w:val="left" w:pos="1134"/>
        <w:tab w:val="right" w:pos="9072"/>
      </w:tabs>
      <w:spacing w:before="120" w:after="40" w:line="240" w:lineRule="auto"/>
      <w:ind w:left="1134" w:right="567" w:hanging="1134"/>
    </w:pPr>
    <w:rPr>
      <w:b/>
      <w:bCs/>
      <w:caps/>
      <w:sz w:val="24"/>
      <w:szCs w:val="24"/>
    </w:rPr>
  </w:style>
  <w:style w:type="paragraph" w:styleId="Verzeichnis2">
    <w:name w:val="toc 2"/>
    <w:basedOn w:val="Standard"/>
    <w:next w:val="Standard"/>
    <w:autoRedefine/>
    <w:uiPriority w:val="39"/>
    <w:qFormat/>
    <w:rsid w:val="00907C84"/>
    <w:pPr>
      <w:keepNext/>
      <w:tabs>
        <w:tab w:val="left" w:pos="1134"/>
        <w:tab w:val="right" w:pos="9072"/>
      </w:tabs>
      <w:spacing w:after="40" w:line="240" w:lineRule="auto"/>
      <w:ind w:left="1134" w:right="567" w:hanging="1134"/>
    </w:pPr>
    <w:rPr>
      <w:b/>
      <w:bCs/>
      <w:noProof/>
      <w:lang w:val="en-US"/>
    </w:rPr>
  </w:style>
  <w:style w:type="paragraph" w:styleId="Verzeichnis3">
    <w:name w:val="toc 3"/>
    <w:basedOn w:val="Standard"/>
    <w:next w:val="Standard"/>
    <w:autoRedefine/>
    <w:uiPriority w:val="39"/>
    <w:qFormat/>
    <w:rsid w:val="00907C84"/>
    <w:pPr>
      <w:tabs>
        <w:tab w:val="left" w:pos="1134"/>
        <w:tab w:val="right" w:pos="9072"/>
      </w:tabs>
      <w:spacing w:after="40" w:line="240" w:lineRule="auto"/>
      <w:ind w:left="1134" w:right="567" w:hanging="1134"/>
    </w:pPr>
    <w:rPr>
      <w:noProof/>
    </w:rPr>
  </w:style>
  <w:style w:type="character" w:customStyle="1" w:styleId="berschrift1Zchn">
    <w:name w:val="Überschrift 1 Zchn"/>
    <w:aliases w:val="GITEC 1. Chapter Heading Zchn,Gitec heading 1 Zchn"/>
    <w:link w:val="berschrift1"/>
    <w:rsid w:val="00EE5403"/>
    <w:rPr>
      <w:rFonts w:cstheme="minorHAnsi"/>
      <w:b/>
      <w:bCs/>
      <w:caps/>
      <w:kern w:val="32"/>
      <w:szCs w:val="32"/>
      <w:lang w:val="fr-FR"/>
    </w:rPr>
  </w:style>
  <w:style w:type="character" w:customStyle="1" w:styleId="berschrift2Zchn">
    <w:name w:val="Überschrift 2 Zchn"/>
    <w:aliases w:val="GITEC 2. Chapter Heading Zchn,Gitec Heading 2 Zchn"/>
    <w:link w:val="berschrift2"/>
    <w:uiPriority w:val="99"/>
    <w:rsid w:val="00380605"/>
    <w:rPr>
      <w:rFonts w:cs="Arial"/>
      <w:b/>
      <w:bCs/>
      <w:iCs/>
      <w:szCs w:val="28"/>
      <w:lang w:val="fr-FR"/>
    </w:rPr>
  </w:style>
  <w:style w:type="character" w:customStyle="1" w:styleId="berschrift3Zchn">
    <w:name w:val="Überschrift 3 Zchn"/>
    <w:aliases w:val="GITEC 3. Chapter Heading Zchn,Gitec Heading 3 Zchn"/>
    <w:link w:val="berschrift3"/>
    <w:rsid w:val="00EE5403"/>
    <w:rPr>
      <w:rFonts w:cs="Arial"/>
      <w:b/>
      <w:bCs/>
      <w:szCs w:val="26"/>
      <w:lang w:val="fr-FR"/>
    </w:rPr>
  </w:style>
  <w:style w:type="paragraph" w:customStyle="1" w:styleId="GITECStandard">
    <w:name w:val="GITEC Standard"/>
    <w:basedOn w:val="Standard"/>
    <w:autoRedefine/>
    <w:qFormat/>
    <w:rsid w:val="00380605"/>
    <w:pPr>
      <w:spacing w:before="60" w:after="120" w:line="240" w:lineRule="auto"/>
      <w:jc w:val="both"/>
    </w:pPr>
    <w:rPr>
      <w:sz w:val="20"/>
      <w:lang w:val="en-US"/>
    </w:rPr>
  </w:style>
  <w:style w:type="table" w:styleId="Tabellenraster">
    <w:name w:val="Table Grid"/>
    <w:basedOn w:val="NormaleTabelle"/>
    <w:uiPriority w:val="39"/>
    <w:rsid w:val="0023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E145B"/>
    <w:pPr>
      <w:ind w:left="720"/>
      <w:contextualSpacing/>
    </w:pPr>
  </w:style>
  <w:style w:type="character" w:styleId="Hyperlink">
    <w:name w:val="Hyperlink"/>
    <w:basedOn w:val="Absatz-Standardschriftart"/>
    <w:uiPriority w:val="99"/>
    <w:unhideWhenUsed/>
    <w:rsid w:val="00D61D97"/>
    <w:rPr>
      <w:color w:val="0563C1" w:themeColor="hyperlink"/>
      <w:u w:val="single"/>
    </w:rPr>
  </w:style>
  <w:style w:type="character" w:styleId="NichtaufgelsteErwhnung">
    <w:name w:val="Unresolved Mention"/>
    <w:basedOn w:val="Absatz-Standardschriftart"/>
    <w:uiPriority w:val="99"/>
    <w:semiHidden/>
    <w:unhideWhenUsed/>
    <w:rsid w:val="00D61D97"/>
    <w:rPr>
      <w:color w:val="605E5C"/>
      <w:shd w:val="clear" w:color="auto" w:fill="E1DFDD"/>
    </w:rPr>
  </w:style>
  <w:style w:type="paragraph" w:styleId="berarbeitung">
    <w:name w:val="Revision"/>
    <w:hidden/>
    <w:uiPriority w:val="99"/>
    <w:semiHidden/>
    <w:rsid w:val="00B61F0A"/>
    <w:pPr>
      <w:spacing w:after="0" w:line="240" w:lineRule="auto"/>
    </w:pPr>
  </w:style>
  <w:style w:type="paragraph" w:customStyle="1" w:styleId="Style11">
    <w:name w:val="Style 11"/>
    <w:basedOn w:val="Standard"/>
    <w:rsid w:val="00BE494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Kommentarzeichen">
    <w:name w:val="annotation reference"/>
    <w:basedOn w:val="Absatz-Standardschriftart"/>
    <w:uiPriority w:val="99"/>
    <w:semiHidden/>
    <w:unhideWhenUsed/>
    <w:rsid w:val="00AF1A43"/>
    <w:rPr>
      <w:sz w:val="16"/>
      <w:szCs w:val="16"/>
    </w:rPr>
  </w:style>
  <w:style w:type="paragraph" w:styleId="Kommentartext">
    <w:name w:val="annotation text"/>
    <w:basedOn w:val="Standard"/>
    <w:link w:val="KommentartextZchn"/>
    <w:uiPriority w:val="99"/>
    <w:unhideWhenUsed/>
    <w:rsid w:val="00AF1A43"/>
    <w:pPr>
      <w:spacing w:line="240" w:lineRule="auto"/>
    </w:pPr>
    <w:rPr>
      <w:sz w:val="20"/>
      <w:szCs w:val="20"/>
    </w:rPr>
  </w:style>
  <w:style w:type="character" w:customStyle="1" w:styleId="KommentartextZchn">
    <w:name w:val="Kommentartext Zchn"/>
    <w:basedOn w:val="Absatz-Standardschriftart"/>
    <w:link w:val="Kommentartext"/>
    <w:uiPriority w:val="99"/>
    <w:rsid w:val="00AF1A43"/>
    <w:rPr>
      <w:sz w:val="20"/>
      <w:szCs w:val="20"/>
    </w:rPr>
  </w:style>
  <w:style w:type="paragraph" w:styleId="Kommentarthema">
    <w:name w:val="annotation subject"/>
    <w:basedOn w:val="Kommentartext"/>
    <w:next w:val="Kommentartext"/>
    <w:link w:val="KommentarthemaZchn"/>
    <w:uiPriority w:val="99"/>
    <w:semiHidden/>
    <w:unhideWhenUsed/>
    <w:rsid w:val="00AF1A43"/>
    <w:rPr>
      <w:b/>
      <w:bCs/>
    </w:rPr>
  </w:style>
  <w:style w:type="character" w:customStyle="1" w:styleId="KommentarthemaZchn">
    <w:name w:val="Kommentarthema Zchn"/>
    <w:basedOn w:val="KommentartextZchn"/>
    <w:link w:val="Kommentarthema"/>
    <w:uiPriority w:val="99"/>
    <w:semiHidden/>
    <w:rsid w:val="00AF1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901">
      <w:bodyDiv w:val="1"/>
      <w:marLeft w:val="0"/>
      <w:marRight w:val="0"/>
      <w:marTop w:val="0"/>
      <w:marBottom w:val="0"/>
      <w:divBdr>
        <w:top w:val="none" w:sz="0" w:space="0" w:color="auto"/>
        <w:left w:val="none" w:sz="0" w:space="0" w:color="auto"/>
        <w:bottom w:val="none" w:sz="0" w:space="0" w:color="auto"/>
        <w:right w:val="none" w:sz="0" w:space="0" w:color="auto"/>
      </w:divBdr>
    </w:div>
    <w:div w:id="623122790">
      <w:bodyDiv w:val="1"/>
      <w:marLeft w:val="0"/>
      <w:marRight w:val="0"/>
      <w:marTop w:val="0"/>
      <w:marBottom w:val="0"/>
      <w:divBdr>
        <w:top w:val="none" w:sz="0" w:space="0" w:color="auto"/>
        <w:left w:val="none" w:sz="0" w:space="0" w:color="auto"/>
        <w:bottom w:val="none" w:sz="0" w:space="0" w:color="auto"/>
        <w:right w:val="none" w:sz="0" w:space="0" w:color="auto"/>
      </w:divBdr>
    </w:div>
    <w:div w:id="687566477">
      <w:bodyDiv w:val="1"/>
      <w:marLeft w:val="0"/>
      <w:marRight w:val="0"/>
      <w:marTop w:val="0"/>
      <w:marBottom w:val="0"/>
      <w:divBdr>
        <w:top w:val="none" w:sz="0" w:space="0" w:color="auto"/>
        <w:left w:val="none" w:sz="0" w:space="0" w:color="auto"/>
        <w:bottom w:val="none" w:sz="0" w:space="0" w:color="auto"/>
        <w:right w:val="none" w:sz="0" w:space="0" w:color="auto"/>
      </w:divBdr>
    </w:div>
    <w:div w:id="1017464105">
      <w:bodyDiv w:val="1"/>
      <w:marLeft w:val="0"/>
      <w:marRight w:val="0"/>
      <w:marTop w:val="0"/>
      <w:marBottom w:val="0"/>
      <w:divBdr>
        <w:top w:val="none" w:sz="0" w:space="0" w:color="auto"/>
        <w:left w:val="none" w:sz="0" w:space="0" w:color="auto"/>
        <w:bottom w:val="none" w:sz="0" w:space="0" w:color="auto"/>
        <w:right w:val="none" w:sz="0" w:space="0" w:color="auto"/>
      </w:divBdr>
    </w:div>
    <w:div w:id="1377897530">
      <w:bodyDiv w:val="1"/>
      <w:marLeft w:val="0"/>
      <w:marRight w:val="0"/>
      <w:marTop w:val="0"/>
      <w:marBottom w:val="0"/>
      <w:divBdr>
        <w:top w:val="none" w:sz="0" w:space="0" w:color="auto"/>
        <w:left w:val="none" w:sz="0" w:space="0" w:color="auto"/>
        <w:bottom w:val="none" w:sz="0" w:space="0" w:color="auto"/>
        <w:right w:val="none" w:sz="0" w:space="0" w:color="auto"/>
      </w:divBdr>
    </w:div>
    <w:div w:id="1612586223">
      <w:bodyDiv w:val="1"/>
      <w:marLeft w:val="0"/>
      <w:marRight w:val="0"/>
      <w:marTop w:val="0"/>
      <w:marBottom w:val="0"/>
      <w:divBdr>
        <w:top w:val="none" w:sz="0" w:space="0" w:color="auto"/>
        <w:left w:val="none" w:sz="0" w:space="0" w:color="auto"/>
        <w:bottom w:val="none" w:sz="0" w:space="0" w:color="auto"/>
        <w:right w:val="none" w:sz="0" w:space="0" w:color="auto"/>
      </w:divBdr>
    </w:div>
    <w:div w:id="1703901932">
      <w:bodyDiv w:val="1"/>
      <w:marLeft w:val="0"/>
      <w:marRight w:val="0"/>
      <w:marTop w:val="0"/>
      <w:marBottom w:val="0"/>
      <w:divBdr>
        <w:top w:val="none" w:sz="0" w:space="0" w:color="auto"/>
        <w:left w:val="none" w:sz="0" w:space="0" w:color="auto"/>
        <w:bottom w:val="none" w:sz="0" w:space="0" w:color="auto"/>
        <w:right w:val="none" w:sz="0" w:space="0" w:color="auto"/>
      </w:divBdr>
    </w:div>
    <w:div w:id="1803964417">
      <w:bodyDiv w:val="1"/>
      <w:marLeft w:val="0"/>
      <w:marRight w:val="0"/>
      <w:marTop w:val="0"/>
      <w:marBottom w:val="0"/>
      <w:divBdr>
        <w:top w:val="none" w:sz="0" w:space="0" w:color="auto"/>
        <w:left w:val="none" w:sz="0" w:space="0" w:color="auto"/>
        <w:bottom w:val="none" w:sz="0" w:space="0" w:color="auto"/>
        <w:right w:val="none" w:sz="0" w:space="0" w:color="auto"/>
      </w:divBdr>
    </w:div>
    <w:div w:id="1822379652">
      <w:bodyDiv w:val="1"/>
      <w:marLeft w:val="0"/>
      <w:marRight w:val="0"/>
      <w:marTop w:val="0"/>
      <w:marBottom w:val="0"/>
      <w:divBdr>
        <w:top w:val="none" w:sz="0" w:space="0" w:color="auto"/>
        <w:left w:val="none" w:sz="0" w:space="0" w:color="auto"/>
        <w:bottom w:val="none" w:sz="0" w:space="0" w:color="auto"/>
        <w:right w:val="none" w:sz="0" w:space="0" w:color="auto"/>
      </w:divBdr>
    </w:div>
    <w:div w:id="2108386513">
      <w:bodyDiv w:val="1"/>
      <w:marLeft w:val="0"/>
      <w:marRight w:val="0"/>
      <w:marTop w:val="0"/>
      <w:marBottom w:val="0"/>
      <w:divBdr>
        <w:top w:val="none" w:sz="0" w:space="0" w:color="auto"/>
        <w:left w:val="none" w:sz="0" w:space="0" w:color="auto"/>
        <w:bottom w:val="none" w:sz="0" w:space="0" w:color="auto"/>
        <w:right w:val="none" w:sz="0" w:space="0" w:color="auto"/>
      </w:divBdr>
    </w:div>
    <w:div w:id="21248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2c1f41-8ca9-4e4b-9306-fde24baec822" xsi:nil="true"/>
    <lcf76f155ced4ddcb4097134ff3c332f xmlns="deaf3ead-b25f-4d8e-ab51-a05a4a1744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168E9072C8CB4E81DCB267E51A4425" ma:contentTypeVersion="15" ma:contentTypeDescription="Ein neues Dokument erstellen." ma:contentTypeScope="" ma:versionID="62e16dfa6cd55ba2f822add94d8ff2e8">
  <xsd:schema xmlns:xsd="http://www.w3.org/2001/XMLSchema" xmlns:xs="http://www.w3.org/2001/XMLSchema" xmlns:p="http://schemas.microsoft.com/office/2006/metadata/properties" xmlns:ns2="deaf3ead-b25f-4d8e-ab51-a05a4a17440c" xmlns:ns3="8d2c1f41-8ca9-4e4b-9306-fde24baec822" targetNamespace="http://schemas.microsoft.com/office/2006/metadata/properties" ma:root="true" ma:fieldsID="4ed2f70d9c158fa150e1ec30936337b2" ns2:_="" ns3:_="">
    <xsd:import namespace="deaf3ead-b25f-4d8e-ab51-a05a4a17440c"/>
    <xsd:import namespace="8d2c1f41-8ca9-4e4b-9306-fde24baec82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f3ead-b25f-4d8e-ab51-a05a4a1744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7b2ebcf5-ca64-4110-8b75-2e6d0d91df5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c1f41-8ca9-4e4b-9306-fde24baec82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be73021-d9fa-42be-b94d-285f0d601100}" ma:internalName="TaxCatchAll" ma:showField="CatchAllData" ma:web="8d2c1f41-8ca9-4e4b-9306-fde24baec8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547FC-6360-4F66-BA41-5D3E354CA807}">
  <ds:schemaRefs>
    <ds:schemaRef ds:uri="http://schemas.microsoft.com/sharepoint/v3/contenttype/forms"/>
  </ds:schemaRefs>
</ds:datastoreItem>
</file>

<file path=customXml/itemProps2.xml><?xml version="1.0" encoding="utf-8"?>
<ds:datastoreItem xmlns:ds="http://schemas.openxmlformats.org/officeDocument/2006/customXml" ds:itemID="{218BC7B2-4960-4C5B-ABA4-00E016624AC4}">
  <ds:schemaRefs>
    <ds:schemaRef ds:uri="http://schemas.microsoft.com/office/2006/metadata/properties"/>
    <ds:schemaRef ds:uri="http://schemas.microsoft.com/office/infopath/2007/PartnerControls"/>
    <ds:schemaRef ds:uri="8d2c1f41-8ca9-4e4b-9306-fde24baec822"/>
    <ds:schemaRef ds:uri="deaf3ead-b25f-4d8e-ab51-a05a4a17440c"/>
  </ds:schemaRefs>
</ds:datastoreItem>
</file>

<file path=customXml/itemProps3.xml><?xml version="1.0" encoding="utf-8"?>
<ds:datastoreItem xmlns:ds="http://schemas.openxmlformats.org/officeDocument/2006/customXml" ds:itemID="{51480D6D-BD08-4268-B0A1-3F472E0D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f3ead-b25f-4d8e-ab51-a05a4a17440c"/>
    <ds:schemaRef ds:uri="8d2c1f41-8ca9-4e4b-9306-fde24baec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4954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Gitec Igip Consulting Group</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Nervisa Bayon Blanco</dc:creator>
  <cp:keywords/>
  <dc:description/>
  <cp:lastModifiedBy>Christian Jaminon</cp:lastModifiedBy>
  <cp:revision>2</cp:revision>
  <dcterms:created xsi:type="dcterms:W3CDTF">2025-08-23T12:08:00Z</dcterms:created>
  <dcterms:modified xsi:type="dcterms:W3CDTF">2025-08-23T12:08:00Z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0x010100A78FC5925C72024D9F702F75A0433745</vt:lpwstr>
  </property>
  <property fmtid="{D5CDD505-2E9C-101B-9397-08002B2CF9AE}" pid="3" name="MediaServiceImageTags">
    <vt:lpwstr/>
  </property>
</Properties>
</file>